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bookmarkStart w:id="2" w:name="_GoBack"/>
      <w:bookmarkEnd w:id="2"/>
      <w:bookmarkStart w:id="0" w:name="quanwen"/>
      <mc:AlternateContent>
        <mc:Choice Requires="wpsCustomData">
          <wpsCustomData:docfieldStart id="0" docfieldname="主送机关" hidden="0" print="1" readonly="0" index="10"/>
        </mc:Choice>
      </mc:AlternateContent>
      <mc:AlternateContent>
        <mc:Choice Requires="wpsCustomData">
          <wpsCustomData:docfieldEnd id="0"/>
        </mc:Choice>
      </mc:AlternateContent>
      <mc:AlternateContent>
        <mc:Choice Requires="wpsCustomData">
          <wpsCustomData:docfieldStart id="1" docfieldname="正文" hidden="0" print="1" readonly="0" index="11"/>
        </mc:Choice>
      </mc:AlternateContent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202</w:t>
      </w:r>
      <w:r>
        <w:rPr>
          <w:rFonts w:hint="default" w:ascii="方正小标宋简体" w:eastAsia="方正小标宋简体"/>
          <w:spacing w:val="-6"/>
          <w:sz w:val="44"/>
          <w:szCs w:val="44"/>
          <w:lang w:eastAsia="zh-CN"/>
        </w:rPr>
        <w:t>4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年</w:t>
      </w:r>
      <w:r>
        <w:rPr>
          <w:rFonts w:hint="default" w:ascii="方正小标宋简体" w:eastAsia="方正小标宋简体"/>
          <w:spacing w:val="-6"/>
          <w:sz w:val="44"/>
          <w:szCs w:val="44"/>
          <w:lang w:eastAsia="zh-CN"/>
        </w:rPr>
        <w:t>5</w:t>
      </w:r>
      <w:r>
        <w:rPr>
          <w:rFonts w:hint="eastAsia" w:ascii="方正小标宋简体" w:eastAsia="方正小标宋简体"/>
          <w:color w:val="auto"/>
          <w:spacing w:val="-6"/>
          <w:sz w:val="44"/>
          <w:szCs w:val="44"/>
        </w:rPr>
        <w:t>月</w:t>
      </w: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云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南证券期货市场基本情况</w:t>
      </w:r>
    </w:p>
    <w:tbl>
      <w:tblPr>
        <w:tblStyle w:val="5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4064"/>
        <w:gridCol w:w="195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541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本月末数或本年累计数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数据填报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境内上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市公司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市值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pacing w:val="-6"/>
                <w:sz w:val="24"/>
                <w:szCs w:val="24"/>
                <w:lang w:val="en-US" w:eastAsia="zh-CN"/>
              </w:rPr>
              <w:t>7,782.83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股票首发筹资金额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股票再筹资金额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4.38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77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在审在辅导公司家数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  <w:t>10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股转系统挂牌公司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挂牌公司家数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在审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  <w:t>挂牌公司家数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  <w:t>发行股票筹资金额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77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交易所债券市场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footnoteReference w:id="0"/>
            </w: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融资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val="en-US" w:eastAsia="zh-CN"/>
              </w:rPr>
              <w:t>企业通过交易所债券市场筹资金额（亿元）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132.4</w:t>
            </w:r>
          </w:p>
        </w:tc>
        <w:tc>
          <w:tcPr>
            <w:tcW w:w="1533" w:type="dxa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beforeLines="0" w:afterLines="0" w:line="280" w:lineRule="exact"/>
              <w:ind w:left="0" w:leftChars="0" w:right="0" w:firstLine="0" w:firstLineChars="0"/>
              <w:jc w:val="both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highlight w:val="none"/>
              </w:rPr>
              <w:t>证券经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证券公司家数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证券公司分公司家数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  <w:t>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证券营业部家数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14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证券投资咨询公司家数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证券市场交易金额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16750.7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pacing w:val="-6"/>
                <w:sz w:val="24"/>
                <w:szCs w:val="24"/>
                <w:lang w:val="en"/>
              </w:rPr>
              <w:t>客户资产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客户资产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5047.12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资金账户数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pacing w:val="-6"/>
                <w:kern w:val="2"/>
                <w:sz w:val="24"/>
                <w:szCs w:val="24"/>
                <w:u w:val="none"/>
                <w:lang w:val="en" w:eastAsia="zh-CN"/>
              </w:rPr>
              <w:t>36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77475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none"/>
              </w:rPr>
              <w:t>期货经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yellow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期货公司家数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期货营业部家数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期货分公司家数</w:t>
            </w:r>
          </w:p>
        </w:tc>
        <w:tc>
          <w:tcPr>
            <w:tcW w:w="195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Cs w:val="0"/>
                <w:spacing w:val="-6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spacing w:val="-6"/>
                <w:sz w:val="24"/>
                <w:szCs w:val="24"/>
                <w:lang w:eastAsia="zh-CN" w:bidi="ar"/>
              </w:rPr>
              <w:t>期货市场交易金额（亿元）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sz w:val="24"/>
                <w:szCs w:val="24"/>
                <w:lang w:val="en-US" w:eastAsia="zh-CN" w:bidi="ar"/>
              </w:rPr>
              <w:t>15593.36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Cs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客户权益（亿元）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52.12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7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期货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账户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数（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pacing w:val="-6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54067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Cs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77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私募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基金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私募基金管理人家数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备案私募基金数量（只）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77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4064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私募基金管理规模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eastAsia="仿宋" w:cs="Times New Roman"/>
                <w:b w:val="0"/>
                <w:bCs/>
                <w:spacing w:val="-6"/>
                <w:kern w:val="2"/>
                <w:sz w:val="24"/>
                <w:szCs w:val="24"/>
                <w:highlight w:val="none"/>
                <w:u w:val="none"/>
                <w:lang w:eastAsia="zh-CN"/>
              </w:rPr>
              <w:t>986.92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40" w:lineRule="auto"/>
        <w:jc w:val="both"/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</w:pPr>
    </w:p>
    <w:p>
      <w:pP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br w:type="page"/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202</w:t>
      </w:r>
      <w:r>
        <w:rPr>
          <w:rFonts w:hint="default" w:ascii="方正小标宋简体" w:eastAsia="方正小标宋简体"/>
          <w:spacing w:val="-6"/>
          <w:sz w:val="44"/>
          <w:szCs w:val="44"/>
          <w:highlight w:val="none"/>
          <w:lang w:eastAsia="zh-CN"/>
        </w:rPr>
        <w:t>4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val="en-US" w:eastAsia="zh-CN"/>
        </w:rPr>
        <w:t>年</w:t>
      </w:r>
      <w:r>
        <w:rPr>
          <w:rFonts w:hint="default" w:ascii="方正小标宋简体" w:eastAsia="方正小标宋简体"/>
          <w:spacing w:val="-6"/>
          <w:sz w:val="44"/>
          <w:szCs w:val="44"/>
          <w:highlight w:val="none"/>
          <w:lang w:eastAsia="zh-CN"/>
        </w:rPr>
        <w:t>5</w:t>
      </w:r>
      <w:r>
        <w:rPr>
          <w:rFonts w:hint="eastAsia" w:ascii="方正小标宋简体" w:eastAsia="方正小标宋简体"/>
          <w:color w:val="auto"/>
          <w:spacing w:val="-6"/>
          <w:sz w:val="44"/>
          <w:szCs w:val="44"/>
          <w:highlight w:val="none"/>
        </w:rPr>
        <w:t>月</w:t>
      </w:r>
      <w:r>
        <w:rPr>
          <w:rFonts w:hint="eastAsia" w:ascii="方正小标宋简体" w:eastAsia="方正小标宋简体"/>
          <w:color w:val="auto"/>
          <w:spacing w:val="-6"/>
          <w:sz w:val="44"/>
          <w:szCs w:val="44"/>
          <w:highlight w:val="none"/>
          <w:lang w:eastAsia="zh-CN"/>
        </w:rPr>
        <w:t>昆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  <w:lang w:eastAsia="zh-CN"/>
        </w:rPr>
        <w:t>明市</w:t>
      </w:r>
      <w:r>
        <w:rPr>
          <w:rFonts w:hint="eastAsia" w:ascii="方正小标宋简体" w:eastAsia="方正小标宋简体"/>
          <w:spacing w:val="-6"/>
          <w:sz w:val="44"/>
          <w:szCs w:val="44"/>
          <w:highlight w:val="none"/>
        </w:rPr>
        <w:t>证券期货市场基本情况</w:t>
      </w:r>
    </w:p>
    <w:tbl>
      <w:tblPr>
        <w:tblStyle w:val="5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618"/>
        <w:gridCol w:w="181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044" w:type="dxa"/>
            <w:gridSpan w:val="2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项目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本月末数或本年累计数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数据填报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  <w:lang w:eastAsia="zh-CN"/>
              </w:rPr>
              <w:t>口径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境内上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  <w:t>市公司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市值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Cs w:val="0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>6,494.94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股票首发筹资金额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股票再筹资金额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4.38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26" w:type="dxa"/>
            <w:vMerge w:val="continue"/>
            <w:noWrap w:val="0"/>
            <w:textDirection w:val="tbRlV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在审在辅导公司家数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  <w:t>股转系统挂牌公司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挂牌公司家数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40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在审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  <w:t>挂牌公司家数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  <w:t>发行股票筹资金额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eastAsia="方正仿宋简体" w:cs="Times New Roman"/>
                <w:b w:val="0"/>
                <w:bCs w:val="0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0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26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lang w:eastAsia="zh-CN"/>
              </w:rPr>
              <w:t>交易所债券市场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lang w:eastAsia="zh-CN"/>
              </w:rPr>
              <w:footnoteReference w:id="1"/>
            </w: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lang w:eastAsia="zh-CN"/>
              </w:rPr>
              <w:t>融资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  <w:t>企业通过交易所债券市场筹资金额（亿元）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107.48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beforeLines="0" w:afterLines="0" w:line="280" w:lineRule="exact"/>
              <w:ind w:left="0" w:leftChars="0" w:right="0" w:firstLine="0" w:firstLineChars="0"/>
              <w:jc w:val="both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  <w:t>本年累计数，包括公司债、可转债、可交换债、资产证券化产品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  <w:t>证券经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证券公司家数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证券公司分公司家数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证券营业部家数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证券投资咨询公司家数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证券市场交易金额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13286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" w:eastAsia="zh-CN"/>
              </w:rPr>
              <w:t>.2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"/>
              </w:rPr>
              <w:t>客户资产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4514.29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合格主资金账户数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2434244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  <w:t>期货经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  <w:t>营机构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期货公司家数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</w:rPr>
              <w:t>期货营业部家数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期货分公司家数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期货市场交易金额（亿元）</w:t>
            </w:r>
          </w:p>
        </w:tc>
        <w:tc>
          <w:tcPr>
            <w:tcW w:w="1819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pacing w:val="-6"/>
                <w:sz w:val="24"/>
                <w:szCs w:val="24"/>
                <w:lang w:val="en-US" w:eastAsia="zh-CN" w:bidi="ar"/>
              </w:rPr>
              <w:t>14673.06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本年累计数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lang w:eastAsia="zh-CN"/>
              </w:rPr>
              <w:t>客户权益（亿元）</w:t>
            </w:r>
          </w:p>
        </w:tc>
        <w:tc>
          <w:tcPr>
            <w:tcW w:w="181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color w:val="000000"/>
                <w:spacing w:val="-6"/>
                <w:sz w:val="24"/>
                <w:szCs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bCs/>
                <w:spacing w:val="-6"/>
                <w:sz w:val="24"/>
                <w:szCs w:val="24"/>
                <w:lang w:val="en-US" w:eastAsia="zh-CN" w:bidi="ar"/>
              </w:rPr>
              <w:t>48.59</w:t>
            </w:r>
          </w:p>
        </w:tc>
        <w:tc>
          <w:tcPr>
            <w:tcW w:w="234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26" w:type="dxa"/>
            <w:vMerge w:val="continue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期货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账户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数（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  <w:szCs w:val="24"/>
              </w:rPr>
              <w:t>）</w:t>
            </w:r>
          </w:p>
        </w:tc>
        <w:tc>
          <w:tcPr>
            <w:tcW w:w="1819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  <w:t>46077</w:t>
            </w:r>
          </w:p>
        </w:tc>
        <w:tc>
          <w:tcPr>
            <w:tcW w:w="234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26" w:type="dxa"/>
            <w:vMerge w:val="restart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私募</w:t>
            </w:r>
          </w:p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基金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私募基金管理人家数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5</w:t>
            </w: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42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备案私募基金数量（只）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" w:eastAsia="zh-CN" w:bidi="ar-SA"/>
              </w:rPr>
              <w:t>1</w:t>
            </w: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26" w:type="dxa"/>
            <w:vMerge w:val="continue"/>
            <w:noWrap w:val="0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color w:val="00000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eastAsia="zh-CN"/>
              </w:rPr>
              <w:t>私募基金管理规模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</w:rPr>
              <w:t>（亿元）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9</w:t>
            </w:r>
            <w:r>
              <w:rPr>
                <w:rFonts w:hint="default" w:eastAsia="方正仿宋简体" w:cs="Times New Roman"/>
                <w:i w:val="0"/>
                <w:color w:val="000000"/>
                <w:spacing w:val="-6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46.69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spacing w:line="240" w:lineRule="atLeast"/>
        <w:rPr>
          <w:rFonts w:eastAsia="仿宋_GB2312"/>
          <w:spacing w:val="-6"/>
          <w:sz w:val="32"/>
          <w:szCs w:val="20"/>
          <w:highlight w:val="none"/>
        </w:rPr>
      </w:pPr>
    </w:p>
    <w:bookmarkEnd w:id="0"/>
    <w:p>
      <w:pPr>
        <w:spacing w:line="240" w:lineRule="atLeast"/>
        <w:rPr>
          <w:rFonts w:eastAsia="仿宋_GB2312"/>
          <w:spacing w:val="-6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pStyle w:val="9"/>
        <w:ind w:left="0" w:leftChars="0" w:firstLine="0" w:firstLineChars="0"/>
      </w:pPr>
      <w:bookmarkStart w:id="1" w:name="结束"/>
      <w:bookmarkEnd w:id="1"/>
    </w:p>
    <mc:AlternateContent>
      <mc:Choice Requires="wpsCustomData">
        <wpsCustomData:docfieldEnd id="1"/>
      </mc:Choice>
    </mc:AlternateContent>
    <w:p>
      <w:pPr>
        <w:spacing w:line="240" w:lineRule="atLeast"/>
        <w:rPr>
          <w:rFonts w:hint="eastAsia" w:eastAsia="仿宋_GB2312"/>
          <w:spacing w:val="-6"/>
          <w:sz w:val="32"/>
          <w:szCs w:val="20"/>
        </w:rPr>
      </w:pPr>
    </w:p>
    <w:p/>
    <w:sectPr>
      <w:headerReference r:id="rId5" w:type="first"/>
      <w:footerReference r:id="rId8" w:type="firs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57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0205317592765B96B63"/>
    <w:charset w:val="86"/>
    <w:family w:val="auto"/>
    <w:pitch w:val="default"/>
    <w:sig w:usb0="00000003" w:usb1="00000000" w:usb2="0000FFE7" w:usb3="000C0000" w:csb0="00800190" w:csb1="00040002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after="0" w:afterLines="221" w:line="440" w:lineRule="auto"/>
      <w:ind w:left="0" w:leftChars="0" w:right="210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  <w:szCs w:val="20"/>
      </w:rPr>
    </w:pPr>
    <w:r>
      <w:rPr>
        <w:sz w:val="2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528" w:afterLines="220" w:line="432" w:lineRule="auto"/>
      <w:ind w:left="210" w:leftChars="100"/>
      <w:rPr>
        <w:rStyle w:val="7"/>
        <w:rFonts w:hint="eastAsia" w:ascii="宋体" w:hAnsi="宋体" w:eastAsia="宋体"/>
        <w:sz w:val="28"/>
        <w:szCs w:val="20"/>
      </w:rPr>
    </w:pPr>
    <w:r>
      <w:rPr>
        <w:rFonts w:hint="eastAsia" w:ascii="宋体" w:hAnsi="宋体" w:eastAsia="宋体"/>
        <w:sz w:val="28"/>
        <w:szCs w:val="20"/>
      </w:rPr>
      <w:t xml:space="preserve">— </w:t>
    </w:r>
    <w:r>
      <w:rPr>
        <w:rFonts w:hint="eastAsia" w:ascii="宋体" w:hAnsi="宋体" w:eastAsia="宋体"/>
        <w:sz w:val="28"/>
        <w:szCs w:val="20"/>
      </w:rPr>
      <w:fldChar w:fldCharType="begin"/>
    </w:r>
    <w:r>
      <w:rPr>
        <w:rStyle w:val="7"/>
        <w:rFonts w:hint="eastAsia" w:ascii="宋体" w:hAnsi="宋体" w:eastAsia="宋体"/>
        <w:sz w:val="28"/>
        <w:szCs w:val="20"/>
      </w:rPr>
      <w:instrText xml:space="preserve"> PAGE </w:instrText>
    </w:r>
    <w:r>
      <w:rPr>
        <w:rFonts w:hint="eastAsia" w:ascii="宋体" w:hAnsi="宋体" w:eastAsia="宋体"/>
        <w:sz w:val="28"/>
        <w:szCs w:val="20"/>
      </w:rPr>
      <w:fldChar w:fldCharType="separate"/>
    </w:r>
    <w:r>
      <w:rPr>
        <w:rStyle w:val="7"/>
        <w:rFonts w:ascii="宋体" w:hAnsi="宋体" w:eastAsia="宋体"/>
        <w:sz w:val="28"/>
        <w:szCs w:val="20"/>
      </w:rPr>
      <w:t>2</w:t>
    </w:r>
    <w:r>
      <w:rPr>
        <w:rFonts w:hint="eastAsia" w:ascii="宋体" w:hAnsi="宋体" w:eastAsia="宋体"/>
        <w:sz w:val="28"/>
        <w:szCs w:val="20"/>
      </w:rPr>
      <w:fldChar w:fldCharType="end"/>
    </w:r>
    <w:r>
      <w:rPr>
        <w:rFonts w:hint="eastAsia" w:ascii="宋体" w:hAnsi="宋体" w:eastAsia="宋体"/>
        <w:sz w:val="28"/>
        <w:szCs w:val="20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120" w:afterLines="50" w:line="160" w:lineRule="exact"/>
      <w:rPr>
        <w:szCs w:val="20"/>
      </w:rPr>
    </w:pPr>
  </w:p>
  <w:p>
    <w:pPr>
      <w:pStyle w:val="2"/>
      <w:tabs>
        <w:tab w:val="left" w:pos="3413"/>
        <w:tab w:val="clear" w:pos="4153"/>
      </w:tabs>
      <w:spacing w:after="120" w:afterLines="50" w:line="160" w:lineRule="exact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widowControl w:val="0"/>
        <w:snapToGrid w:val="0"/>
        <w:spacing w:line="240" w:lineRule="atLeast"/>
        <w:jc w:val="left"/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</w:pPr>
      <w:r>
        <w:rPr>
          <w:rStyle w:val="8"/>
          <w:spacing w:val="-6"/>
          <w:kern w:val="2"/>
          <w:lang w:val="en-US" w:eastAsia="zh-CN" w:bidi="ar-SA"/>
        </w:rPr>
        <w:footnoteRef/>
      </w:r>
      <w:r>
        <w:rPr>
          <w:rFonts w:ascii="Times New Roman" w:hAnsi="Times New Roman" w:eastAsia="仿宋_GB2312" w:cs="Times New Roman"/>
          <w:spacing w:val="-6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  <w:t>交易所市场指上海证券交易所、深圳证券交易所、机构间私募产品报价与服务系统</w:t>
      </w:r>
    </w:p>
  </w:footnote>
  <w:footnote w:id="1">
    <w:p>
      <w:pPr>
        <w:widowControl w:val="0"/>
        <w:snapToGrid w:val="0"/>
        <w:spacing w:line="240" w:lineRule="atLeast"/>
        <w:jc w:val="left"/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</w:pPr>
      <w:r>
        <w:rPr>
          <w:rStyle w:val="8"/>
          <w:spacing w:val="-6"/>
          <w:kern w:val="2"/>
          <w:lang w:val="en-US" w:eastAsia="zh-CN" w:bidi="ar-SA"/>
        </w:rPr>
        <w:footnoteRef/>
      </w:r>
      <w:r>
        <w:rPr>
          <w:rFonts w:ascii="Times New Roman" w:hAnsi="Times New Roman" w:eastAsia="仿宋_GB2312" w:cs="Times New Roman"/>
          <w:spacing w:val="-6"/>
          <w:kern w:val="2"/>
          <w:sz w:val="18"/>
          <w:szCs w:val="24"/>
          <w:lang w:val="en-US" w:eastAsia="zh-CN" w:bidi="ar-SA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6"/>
          <w:kern w:val="2"/>
          <w:sz w:val="21"/>
          <w:szCs w:val="21"/>
          <w:lang w:val="en-US" w:eastAsia="zh-CN" w:bidi="ar-SA"/>
        </w:rPr>
        <w:t>交易所市场指上海证券交易所、深圳证券交易所、机构间私募产品报价与服务系统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eastAsia="仿宋_GB2312"/>
        <w:spacing w:val="-6"/>
        <w:sz w:val="32"/>
        <w:szCs w:val="32"/>
      </w:rPr>
    </w:pPr>
  </w:p>
  <w:p>
    <w:pPr>
      <w:spacing w:line="240" w:lineRule="atLeast"/>
      <w:rPr>
        <w:rFonts w:hint="eastAsia" w:eastAsia="仿宋_GB2312"/>
        <w:spacing w:val="-6"/>
        <w:sz w:val="32"/>
        <w:szCs w:val="32"/>
      </w:rPr>
    </w:pPr>
  </w:p>
  <w:p>
    <w:pPr>
      <w:pStyle w:val="3"/>
      <w:rPr>
        <w:sz w:val="38"/>
        <w:szCs w:val="3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D0495"/>
    <w:rsid w:val="3FBFCE65"/>
    <w:rsid w:val="6F71BD8E"/>
    <w:rsid w:val="9FFD0495"/>
    <w:rsid w:val="BE70DA0E"/>
    <w:rsid w:val="D1FEC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3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cs="Times New Roman"/>
      <w:sz w:val="18"/>
      <w:szCs w:val="24"/>
    </w:rPr>
  </w:style>
  <w:style w:type="character" w:styleId="7">
    <w:name w:val="page number"/>
    <w:qFormat/>
    <w:uiPriority w:val="0"/>
  </w:style>
  <w:style w:type="character" w:styleId="8">
    <w:name w:val="footnote reference"/>
    <w:basedOn w:val="6"/>
    <w:unhideWhenUsed/>
    <w:qFormat/>
    <w:uiPriority w:val="99"/>
    <w:rPr>
      <w:rFonts w:ascii="Times New Roman" w:hAnsi="Times New Roman" w:eastAsia="方正仿宋简体" w:cs="Times New Roman"/>
      <w:sz w:val="32"/>
      <w:szCs w:val="20"/>
      <w:vertAlign w:val="superscript"/>
    </w:rPr>
  </w:style>
  <w:style w:type="paragraph" w:customStyle="1" w:styleId="9">
    <w:name w:val="NormalIndent"/>
    <w:next w:val="1"/>
    <w:qFormat/>
    <w:uiPriority w:val="0"/>
    <w:pPr>
      <w:widowControl w:val="0"/>
      <w:spacing w:line="240" w:lineRule="atLeast"/>
      <w:ind w:firstLine="420"/>
      <w:jc w:val="both"/>
      <w:textAlignment w:val="baseline"/>
    </w:pPr>
    <w:rPr>
      <w:rFonts w:ascii="宋体" w:hAnsi="Times New Roman" w:eastAsia="宋体" w:cs="Times New Roman"/>
      <w:spacing w:val="-6"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2024-06-26T10:26:00Z</dcterms:created>
  <dc:creator>朱天兴：拟稿</dc:creator>
  <cp:lastModifiedBy>余飞杨</cp:lastModifiedBy>
  <dcterms:modified xsi:type="dcterms:W3CDTF">2024-07-08T15:53:29Z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680C8B4758B63BC00A737A66047BFE58</vt:lpwstr>
  </property>
</Properties>
</file>