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jc w:val="center"/>
        <w:rPr>
          <w:rFonts w:hint="eastAsia" w:ascii="方正小标宋简体" w:hAnsi="方正小标宋简体" w:eastAsia="方正小标宋简体"/>
          <w:b/>
          <w:color w:val="FF0000"/>
          <w:w w:val="95"/>
          <w:kern w:val="0"/>
          <w:sz w:val="44"/>
          <w:szCs w:val="116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黑体"/>
          <w:b/>
          <w:color w:val="FF0000"/>
          <w:w w:val="95"/>
          <w:sz w:val="44"/>
          <w:szCs w:val="72"/>
        </w:rPr>
        <w:t>中国证券监督管理委员会广东监管局</w:t>
      </w:r>
    </w:p>
    <w:p>
      <w:pPr>
        <w:jc w:val="center"/>
        <w:rPr>
          <w:rFonts w:hint="eastAsia" w:ascii="方正小标宋简体" w:hAnsi="方正小标宋简体" w:eastAsia="方正小标宋简体"/>
          <w:snapToGrid w:val="0"/>
          <w:spacing w:val="85"/>
          <w:w w:val="90"/>
          <w:sz w:val="72"/>
          <w:szCs w:val="72"/>
        </w:rPr>
      </w:pPr>
      <w:r>
        <w:rPr>
          <w:rFonts w:hint="eastAsia" w:ascii="方正小标宋简体" w:hAnsi="方正小标宋简体" w:eastAsia="方正小标宋简体"/>
          <w:b/>
          <w:bCs/>
          <w:snapToGrid w:val="0"/>
          <w:color w:val="FF0000"/>
          <w:spacing w:val="85"/>
          <w:w w:val="90"/>
          <w:sz w:val="72"/>
          <w:szCs w:val="72"/>
        </w:rPr>
        <w:t>行政监管措施决定书</w:t>
      </w:r>
    </w:p>
    <w:p>
      <w:pPr>
        <w:snapToGrid w:val="0"/>
        <w:jc w:val="center"/>
        <w:rPr>
          <w:rFonts w:hint="eastAsia" w:ascii="仿宋_GB2312" w:hAnsi="仿宋_GB2312" w:eastAsia="仿宋_GB2312" w:cs="宋体"/>
          <w:sz w:val="40"/>
          <w:szCs w:val="40"/>
        </w:rPr>
      </w:pPr>
    </w:p>
    <w:p>
      <w:pPr>
        <w:snapToGrid w:val="0"/>
        <w:spacing w:before="156" w:beforeLines="50" w:line="300" w:lineRule="auto"/>
        <w:jc w:val="center"/>
        <w:rPr>
          <w:rFonts w:ascii="黑体" w:hAnsi="Times New Roman" w:eastAsia="黑体" w:cs="Times New Roman"/>
          <w:color w:val="000000"/>
          <w:spacing w:val="12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〔20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  <w:lang w:val="en-US" w:eastAsia="zh-CN"/>
        </w:rPr>
        <w:t>2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〕</w:t>
      </w:r>
      <w:r>
        <w:rPr>
          <w:rFonts w:hint="default" w:ascii="仿宋_GB2312" w:hAnsi="Times New Roman" w:eastAsia="仿宋_GB2312" w:cs="Times New Roman"/>
          <w:color w:val="000000"/>
          <w:spacing w:val="12"/>
          <w:sz w:val="28"/>
          <w:lang w:val="en-US"/>
        </w:rPr>
        <w:t>18</w:t>
      </w:r>
      <w:r>
        <w:rPr>
          <w:rFonts w:hint="default" w:ascii="仿宋_GB2312" w:eastAsia="仿宋_GB2312" w:cs="Times New Roman"/>
          <w:color w:val="000000"/>
          <w:spacing w:val="12"/>
          <w:sz w:val="28"/>
          <w:lang w:val="en-US"/>
        </w:rPr>
        <w:t>9</w:t>
      </w:r>
      <w:r>
        <w:rPr>
          <w:rFonts w:hint="eastAsia" w:ascii="仿宋_GB2312" w:hAnsi="Times New Roman" w:eastAsia="仿宋_GB2312" w:cs="Times New Roman"/>
          <w:color w:val="000000"/>
          <w:spacing w:val="12"/>
          <w:sz w:val="28"/>
        </w:rPr>
        <w:t>号</w:t>
      </w:r>
    </w:p>
    <w:p>
      <w:pPr>
        <w:snapToGrid w:val="0"/>
        <w:jc w:val="center"/>
        <w:rPr>
          <w:rFonts w:hint="eastAsia" w:ascii="仿宋_GB2312" w:hAnsi="仿宋_GB2312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128905</wp:posOffset>
                </wp:positionV>
                <wp:extent cx="555180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80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35pt;margin-top:10.15pt;height:0.05pt;width:437.15pt;z-index:251659264;mso-width-relative:page;mso-height-relative:page;" filled="f" stroked="t" coordsize="21600,21600" o:gfxdata="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DML7WS1gAAAAgBAAAPAAAAAAAAAAEAIAAAADgAAABkcnMvZG93bnJldi54bWxQ&#10;SwECFAAUAAAACACHTuJAIhmvX+MBAACqAwAADgAAAAAAAAABACAAAAA7AQAAZHJzL2Uyb0RvYy54&#10;bWxQSwUGAAAAAAYABgBZAQAAkAUAAAAA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beforeLines="0" w:afterLines="0" w:line="24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bookmarkStart w:id="0" w:name="quanwen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陈小花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采取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出具警示函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措施的决定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36" w:lineRule="auto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陈小花：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spacing w:val="0"/>
          <w:kern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Times New Roman"/>
          <w:spacing w:val="0"/>
          <w:kern w:val="0"/>
          <w:sz w:val="32"/>
          <w:highlight w:val="none"/>
          <w:lang w:eastAsia="zh-CN"/>
        </w:rPr>
        <w:t>经查，你作为广东天元实业集团股份有限公司董事、副总经理、财务总监，在2024年6月6日至11月12日期间，你的配偶通过其证券账户买卖该公司股票,存在买入后六个月内卖出的情形。其中，累计买入6,700股，成交金额50,518元，累计卖出20,000股，成交金额195,000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spacing w:val="0"/>
          <w:kern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Times New Roman"/>
          <w:spacing w:val="0"/>
          <w:kern w:val="0"/>
          <w:sz w:val="32"/>
          <w:highlight w:val="none"/>
          <w:lang w:eastAsia="zh-CN"/>
        </w:rPr>
        <w:t>根据《中华人民共和国证券法》（以下简称《证券法》）第四十四条第一款、第二款的规定,上述行为构成短线交易。依据《证券法》第一百七十条第二款的规定,我局决定对你采取出具警示函的行政监管措施。你应当引以为戒,认真吸取教训,本人及直系亲属应切实加强对证券法律法规的学习,严格规范交易行为,杜绝此类违规行为再次发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spacing w:val="0"/>
          <w:kern w:val="0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Times New Roman"/>
          <w:spacing w:val="0"/>
          <w:kern w:val="0"/>
          <w:sz w:val="32"/>
          <w:highlight w:val="none"/>
          <w:lang w:eastAsia="zh-CN"/>
        </w:rPr>
        <w:t>如果对本监督管理措施不服,可以在收到本决定书之日起60日内向中国证券监督管理委员会提出行政复议申请,也可以在收到本决定书之日起6个月内向有管辖权的人民法院提起诉讼。复议与诉讼期间,上述监督管理措施不停止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360" w:lineRule="auto"/>
        <w:jc w:val="left"/>
        <w:textAlignment w:val="auto"/>
        <w:rPr>
          <w:rFonts w:ascii="宋体" w:hAnsi="宋体" w:cs="宋体"/>
          <w:color w:val="000000"/>
          <w:sz w:val="28"/>
          <w:szCs w:val="28"/>
        </w:rPr>
      </w:pPr>
    </w:p>
    <w:p>
      <w:pPr>
        <w:overflowPunct w:val="0"/>
        <w:adjustRightInd w:val="0"/>
        <w:snapToGrid w:val="0"/>
        <w:spacing w:line="360" w:lineRule="auto"/>
        <w:ind w:right="1705"/>
        <w:jc w:val="right"/>
        <w:rPr>
          <w:rFonts w:hint="eastAsia" w:ascii="仿宋_GB2312" w:hAnsi="Times New Roman" w:eastAsia="仿宋_GB2312" w:cs="Times New Roman"/>
          <w:color w:val="000000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</w:rPr>
        <w:t>广东证监局</w:t>
      </w:r>
    </w:p>
    <w:p>
      <w:pPr>
        <w:numPr>
          <w:ilvl w:val="0"/>
          <w:numId w:val="0"/>
        </w:numPr>
        <w:pBdr>
          <w:top w:val="none" w:color="auto" w:sz="0" w:space="0"/>
          <w:bottom w:val="none" w:color="auto" w:sz="0" w:space="0"/>
        </w:pBdr>
        <w:overflowPunct w:val="0"/>
        <w:adjustRightInd w:val="0"/>
        <w:snapToGrid w:val="0"/>
        <w:spacing w:beforeLines="0" w:afterLines="0" w:line="360" w:lineRule="auto"/>
        <w:jc w:val="center"/>
        <w:outlineLvl w:val="9"/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pacing w:val="1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eastAsia="zh-CN"/>
        </w:rPr>
        <w:t>2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024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年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月</w:t>
      </w:r>
      <w:r>
        <w:rPr>
          <w:rFonts w:hint="default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Times New Roman"/>
          <w:color w:val="000000"/>
          <w:spacing w:val="10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color w:val="000000"/>
          <w:spacing w:val="10"/>
          <w:sz w:val="32"/>
          <w:szCs w:val="32"/>
        </w:rPr>
        <w:t>日</w:t>
      </w: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32"/>
          <w:szCs w:val="32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/>
          <w:spacing w:val="8"/>
          <w:sz w:val="21"/>
          <w:szCs w:val="21"/>
        </w:rPr>
      </w:pPr>
    </w:p>
    <w:p>
      <w:pPr>
        <w:snapToGrid w:val="0"/>
        <w:spacing w:line="360" w:lineRule="auto"/>
        <w:ind w:right="28"/>
        <w:jc w:val="left"/>
        <w:rPr>
          <w:rFonts w:hint="eastAsia" w:ascii="黑体" w:eastAsia="黑体" w:cs="Times New Roman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8" w:space="6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9" w:afterLines="35"/>
        <w:ind w:firstLine="296" w:firstLineChars="100"/>
        <w:textAlignment w:val="auto"/>
        <w:rPr>
          <w:rFonts w:hint="eastAsia" w:ascii="仿宋_GB2312" w:eastAsia="仿宋_GB2312"/>
          <w:spacing w:val="8"/>
          <w:sz w:val="28"/>
          <w:lang w:val="en-US" w:eastAsia="zh-CN"/>
        </w:rPr>
      </w:pPr>
      <w:r>
        <w:rPr>
          <w:rFonts w:hint="eastAsia" w:ascii="仿宋_GB2312" w:eastAsia="仿宋_GB2312"/>
          <w:spacing w:val="8"/>
          <w:sz w:val="28"/>
        </w:rPr>
        <w:t>抄送：证监会上市司、法治司；深圳证券交易所</w:t>
      </w:r>
      <w:r>
        <w:rPr>
          <w:rFonts w:hint="eastAsia" w:ascii="仿宋_GB2312" w:eastAsia="仿宋_GB2312"/>
          <w:spacing w:val="8"/>
          <w:sz w:val="28"/>
          <w:lang w:eastAsia="zh-CN"/>
        </w:rPr>
        <w:t>。</w:t>
      </w:r>
    </w:p>
    <w:p>
      <w:pPr>
        <w:pBdr>
          <w:top w:val="single" w:color="auto" w:sz="4" w:space="6"/>
        </w:pBdr>
        <w:adjustRightInd w:val="0"/>
        <w:snapToGrid w:val="0"/>
        <w:spacing w:after="109" w:afterLines="35"/>
        <w:ind w:firstLine="318"/>
        <w:jc w:val="left"/>
        <w:rPr>
          <w:rFonts w:hint="eastAsia" w:ascii="仿宋_GB2312" w:eastAsia="仿宋_GB2312"/>
          <w:spacing w:val="8"/>
          <w:sz w:val="28"/>
        </w:rPr>
      </w:pPr>
      <w:r>
        <w:rPr>
          <w:rFonts w:hint="eastAsia" w:ascii="仿宋_GB2312" w:eastAsia="仿宋_GB2312"/>
          <w:spacing w:val="8"/>
          <w:sz w:val="28"/>
        </w:rPr>
        <w:t xml:space="preserve">广东证监局办公室              </w:t>
      </w:r>
      <w:r>
        <w:rPr>
          <w:rFonts w:hint="default" w:ascii="仿宋_GB2312" w:eastAsia="仿宋_GB2312"/>
          <w:spacing w:val="8"/>
          <w:sz w:val="28"/>
          <w:lang w:val="en-US"/>
        </w:rPr>
        <w:t xml:space="preserve">   </w:t>
      </w:r>
      <w:r>
        <w:rPr>
          <w:rFonts w:hint="eastAsia" w:ascii="仿宋_GB2312" w:eastAsia="仿宋_GB2312"/>
          <w:spacing w:val="8"/>
          <w:sz w:val="28"/>
        </w:rPr>
        <w:t xml:space="preserve"> </w:t>
      </w:r>
      <w:r>
        <w:rPr>
          <w:rFonts w:hint="default" w:ascii="仿宋_GB2312" w:eastAsia="仿宋_GB2312"/>
          <w:spacing w:val="8"/>
          <w:sz w:val="28"/>
          <w:lang w:val="en" w:eastAsia="zh-CN"/>
        </w:rPr>
        <w:t>202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4</w:t>
      </w:r>
      <w:r>
        <w:rPr>
          <w:rFonts w:hint="eastAsia" w:ascii="仿宋_GB2312" w:eastAsia="仿宋_GB2312"/>
          <w:spacing w:val="8"/>
          <w:sz w:val="28"/>
        </w:rPr>
        <w:t>年</w:t>
      </w:r>
      <w:r>
        <w:rPr>
          <w:rFonts w:hint="default" w:ascii="仿宋_GB2312" w:eastAsia="仿宋_GB2312"/>
          <w:spacing w:val="8"/>
          <w:sz w:val="28"/>
          <w:lang w:val="en-US"/>
        </w:rPr>
        <w:t>1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</w:t>
      </w:r>
      <w:r>
        <w:rPr>
          <w:rFonts w:hint="eastAsia" w:ascii="仿宋_GB2312" w:eastAsia="仿宋_GB2312"/>
          <w:spacing w:val="8"/>
          <w:sz w:val="28"/>
        </w:rPr>
        <w:t>月</w:t>
      </w:r>
      <w:r>
        <w:rPr>
          <w:rFonts w:hint="default" w:ascii="仿宋_GB2312" w:eastAsia="仿宋_GB2312"/>
          <w:spacing w:val="8"/>
          <w:sz w:val="28"/>
          <w:lang w:val="en-US" w:eastAsia="zh-CN"/>
        </w:rPr>
        <w:t>1</w:t>
      </w:r>
      <w:r>
        <w:rPr>
          <w:rFonts w:hint="eastAsia" w:ascii="仿宋_GB2312" w:eastAsia="仿宋_GB2312"/>
          <w:spacing w:val="8"/>
          <w:sz w:val="28"/>
          <w:lang w:val="en-US" w:eastAsia="zh-CN"/>
        </w:rPr>
        <w:t>5</w:t>
      </w:r>
      <w:r>
        <w:rPr>
          <w:rFonts w:hint="eastAsia" w:ascii="仿宋_GB2312" w:eastAsia="仿宋_GB2312"/>
          <w:spacing w:val="8"/>
          <w:sz w:val="28"/>
        </w:rPr>
        <w:t>日印发</w:t>
      </w:r>
    </w:p>
    <w:p>
      <w:pPr>
        <w:pBdr>
          <w:top w:val="single" w:color="auto" w:sz="8" w:space="7"/>
        </w:pBdr>
        <w:overflowPunct w:val="0"/>
        <w:adjustRightInd w:val="0"/>
        <w:snapToGrid w:val="0"/>
        <w:spacing w:beforeLines="0" w:after="0" w:afterLines="0"/>
        <w:ind w:firstLine="0"/>
        <w:jc w:val="left"/>
        <w:rPr>
          <w:rFonts w:hint="eastAsia" w:ascii="仿宋_GB2312" w:eastAsia="仿宋_GB2312"/>
          <w:spacing w:val="8"/>
          <w:sz w:val="2"/>
          <w:szCs w:val="2"/>
        </w:rPr>
      </w:pPr>
    </w:p>
    <w:bookmarkEnd w:id="0"/>
    <w:p>
      <w:pPr>
        <w:snapToGrid w:val="0"/>
        <w:spacing w:beforeLines="0" w:afterLines="0"/>
        <w:rPr>
          <w:sz w:val="2"/>
          <w:szCs w:val="2"/>
        </w:rPr>
      </w:pPr>
    </w:p>
    <w:sectPr>
      <w:headerReference r:id="rId3" w:type="default"/>
      <w:footerReference r:id="rId4" w:type="default"/>
      <w:pgSz w:w="11906" w:h="16838"/>
      <w:pgMar w:top="2097" w:right="1474" w:bottom="1984" w:left="1587" w:header="851" w:footer="158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BE75A"/>
    <w:rsid w:val="139FA756"/>
    <w:rsid w:val="2F7A0206"/>
    <w:rsid w:val="3BB9146A"/>
    <w:rsid w:val="7FFD2D4A"/>
    <w:rsid w:val="97D610E4"/>
    <w:rsid w:val="DE7F7A8C"/>
    <w:rsid w:val="DFFBE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spacing w:line="240" w:lineRule="auto"/>
      <w:ind w:firstLine="420"/>
      <w:jc w:val="both"/>
      <w:textAlignment w:val="baseline"/>
    </w:pPr>
    <w:rPr>
      <w:rFonts w:ascii="宋体" w:hAnsi="Calibri"/>
      <w:kern w:val="0"/>
      <w:sz w:val="21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9">
    <w:name w:val="Char Char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2024-11-16T05:41:00Z</dcterms:created>
  <dc:creator>王艳</dc:creator>
  <cp:lastModifiedBy>王艳</cp:lastModifiedBy>
  <dcterms:modified xsi:type="dcterms:W3CDTF">2024-11-20T11:17:32Z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75A6C334C1B405B73ADF3A67045C1796</vt:lpwstr>
  </property>
</Properties>
</file>