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74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widowControl w:val="0"/>
        <w:overflowPunct w:val="0"/>
        <w:adjustRightInd w:val="0"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</w:rPr>
        <w:t>对</w:t>
      </w: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44"/>
          <w:highlight w:val="none"/>
          <w:lang w:eastAsia="zh-CN" w:bidi="ar-SA"/>
        </w:rPr>
        <w:t>广东小崧科技股份有限公司、彭国宇、卢保山、温琳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</w:rPr>
        <w:t>采取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  <w:lang w:eastAsia="zh-CN"/>
        </w:rPr>
        <w:t>出具警示函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</w:rPr>
        <w:t>措施的决定</w:t>
      </w:r>
    </w:p>
    <w:p>
      <w:pPr>
        <w:adjustRightInd w:val="0"/>
        <w:snapToGrid w:val="0"/>
        <w:spacing w:beforeLines="0" w:afterLines="0" w:line="240" w:lineRule="auto"/>
        <w:rPr>
          <w:rFonts w:hint="eastAsia" w:ascii="方正小标宋简体" w:hAnsi="方正小标宋简体" w:eastAsia="方正小标宋简体" w:cs="方正小标宋简体"/>
          <w:kern w:val="0"/>
          <w:sz w:val="32"/>
          <w:highlight w:val="none"/>
          <w:lang w:eastAsia="zh-CN"/>
        </w:rPr>
      </w:pPr>
    </w:p>
    <w:p>
      <w:pPr>
        <w:overflowPunct w:val="0"/>
        <w:adjustRightInd w:val="0"/>
        <w:snapToGrid w:val="0"/>
        <w:spacing w:beforeLines="0" w:afterLines="0" w:line="336" w:lineRule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广东小崧科技股份有限公司、彭国宇、卢保山、温琳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：</w:t>
      </w:r>
    </w:p>
    <w:p>
      <w:pPr>
        <w:pStyle w:val="2"/>
        <w:overflowPunct w:val="0"/>
        <w:snapToGrid w:val="0"/>
        <w:spacing w:beforeLines="0" w:afterLines="0" w:line="336" w:lineRule="auto"/>
        <w:ind w:left="0" w:leftChars="0" w:firstLine="640" w:firstLineChars="0"/>
        <w:rPr>
          <w:rFonts w:hint="eastAsia" w:ascii="仿宋_GB2312" w:hAnsi="仿宋_GB2312" w:eastAsia="仿宋_GB2312" w:cs="Times New Roman"/>
          <w:spacing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" w:eastAsia="zh-CN"/>
        </w:rPr>
        <w:t>经查，广东小崧科技股份有限公司（以下简称小崧股份或公司）存在以下违规问题：</w:t>
      </w:r>
    </w:p>
    <w:p>
      <w:pPr>
        <w:pStyle w:val="2"/>
        <w:overflowPunct w:val="0"/>
        <w:snapToGrid w:val="0"/>
        <w:spacing w:beforeLines="0" w:afterLines="0" w:line="336" w:lineRule="auto"/>
        <w:ind w:left="0" w:leftChars="0" w:firstLine="640" w:firstLineChars="0"/>
        <w:rPr>
          <w:rFonts w:hint="default" w:ascii="仿宋_GB2312" w:hAnsi="仿宋_GB2312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2024年4月30日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" w:eastAsia="zh-CN"/>
        </w:rPr>
        <w:t>小崧股份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发布2023年年度报告，披露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"/>
        </w:rPr>
        <w:t>年归属于上市公司股东的净利润（以下简称净利润）为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亏损约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highlight w:val="none"/>
          <w:lang w:val="en-US" w:eastAsia="zh-CN"/>
        </w:rPr>
        <w:t>691.64万元</w:t>
      </w:r>
      <w:r>
        <w:rPr>
          <w:rFonts w:hint="eastAsia" w:ascii="仿宋_GB2312" w:hAnsi="仿宋_GB2312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，同比由盈转亏。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highlight w:val="none"/>
          <w:lang w:val="en" w:eastAsia="zh-CN"/>
        </w:rPr>
        <w:t>小崧股份</w:t>
      </w:r>
      <w:r>
        <w:rPr>
          <w:rFonts w:hint="eastAsia" w:ascii="仿宋_GB2312" w:hAnsi="仿宋_GB2312" w:eastAsia="仿宋_GB2312" w:cs="Times New Roman"/>
          <w:kern w:val="0"/>
          <w:sz w:val="32"/>
          <w:szCs w:val="22"/>
          <w:highlight w:val="none"/>
          <w:lang w:val="en-US" w:eastAsia="zh-CN" w:bidi="ar-SA"/>
        </w:rPr>
        <w:t>未按规定在2024年1月31日前披露2023年度业绩预告，且截至公司2023年年报发布也未披露相关业绩预告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公司上述行为违反了《上市公司信息披露管理办法》（证监会令第182号，下同）</w:t>
      </w:r>
      <w:r>
        <w:rPr>
          <w:rFonts w:hint="eastAsia" w:ascii="仿宋_GB2312" w:hAnsi="仿宋_GB2312" w:eastAsia="仿宋_GB2312" w:cs="Times New Roman"/>
          <w:kern w:val="0"/>
          <w:sz w:val="32"/>
          <w:szCs w:val="22"/>
          <w:lang w:val="en-US" w:eastAsia="zh-CN" w:bidi="ar-SA"/>
        </w:rPr>
        <w:t>第三条第一款、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第十七条的规定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pStyle w:val="2"/>
        <w:overflowPunct w:val="0"/>
        <w:snapToGrid w:val="0"/>
        <w:spacing w:beforeLines="0" w:afterLines="0" w:line="336" w:lineRule="auto"/>
        <w:ind w:left="0" w:leftChars="0" w:firstLine="640" w:firstLineChars="0"/>
        <w:rPr>
          <w:rFonts w:hint="default" w:ascii="仿宋_GB2312" w:hAnsi="仿宋_GB2312" w:eastAsia="仿宋_GB2312" w:cs="Times New Roman"/>
          <w:spacing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小崧股份董事长彭国宇、总经理卢保山、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总监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-US" w:eastAsia="zh-CN"/>
        </w:rPr>
        <w:t>温琳未能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/>
        </w:rPr>
        <w:t>按照《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上市公司信息披露管理办法</w:t>
      </w:r>
      <w:r>
        <w:rPr>
          <w:rFonts w:hint="eastAsia" w:ascii="仿宋_GB2312" w:hAnsi="仿宋_GB2312" w:eastAsia="仿宋_GB2312" w:cs="仿宋_GB2312"/>
          <w:snapToGrid/>
          <w:kern w:val="0"/>
          <w:sz w:val="32"/>
          <w:szCs w:val="32"/>
          <w:lang w:val="en-US" w:eastAsia="zh-CN"/>
        </w:rPr>
        <w:t>》第四条的规定履行勤勉尽责义务，对公司上述违规行为负有主要责任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-US" w:eastAsia="zh-CN"/>
        </w:rPr>
        <w:t>。</w:t>
      </w:r>
    </w:p>
    <w:p>
      <w:pPr>
        <w:pStyle w:val="2"/>
        <w:overflowPunct w:val="0"/>
        <w:snapToGrid w:val="0"/>
        <w:spacing w:beforeLines="0" w:afterLines="0" w:line="336" w:lineRule="auto"/>
        <w:ind w:left="0" w:leftChars="0" w:firstLine="640" w:firstLineChars="0"/>
        <w:rPr>
          <w:rFonts w:hint="default" w:ascii="仿宋_GB2312" w:hAnsi="仿宋_GB2312" w:eastAsia="仿宋_GB2312" w:cs="Times New Roman"/>
          <w:spacing w:val="0"/>
          <w:sz w:val="32"/>
          <w:szCs w:val="32"/>
          <w:lang w:val="en"/>
        </w:rPr>
      </w:pP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"/>
        </w:rPr>
        <w:t>根据《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-US" w:eastAsia="zh-CN"/>
        </w:rPr>
        <w:t>上市公司信息披露管理办法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"/>
        </w:rPr>
        <w:t>》第五十二条的规定，我局决定对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" w:eastAsia="zh-CN"/>
        </w:rPr>
        <w:t>小崧股份、彭国宇、卢保山、温琳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"/>
        </w:rPr>
        <w:t>采取出具警示函的行政监管措施，</w:t>
      </w:r>
      <w:r>
        <w:rPr>
          <w:rFonts w:hint="eastAsia" w:ascii="仿宋_GB2312" w:hAnsi="仿宋_GB2312" w:eastAsia="仿宋_GB2312" w:cs="Times New Roman"/>
          <w:spacing w:val="0"/>
          <w:sz w:val="32"/>
          <w:szCs w:val="32"/>
          <w:lang w:val="en" w:eastAsia="zh-CN"/>
        </w:rPr>
        <w:t>你们</w:t>
      </w: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"/>
        </w:rPr>
        <w:t>应认真吸取教训，切实加强对证券法律法规的学习，依法真实、准确、完整、及时、公平地履行信息披露义务，于收到本决定书30日内向我局报送整改报告，并抄报深圳证券交易所。</w:t>
      </w:r>
    </w:p>
    <w:p>
      <w:pPr>
        <w:pStyle w:val="2"/>
        <w:overflowPunct w:val="0"/>
        <w:snapToGrid w:val="0"/>
        <w:spacing w:beforeLines="0" w:afterLines="0" w:line="336" w:lineRule="auto"/>
        <w:ind w:left="0" w:leftChars="0" w:firstLine="640" w:firstLineChars="0"/>
        <w:rPr>
          <w:rFonts w:hint="default"/>
          <w:sz w:val="32"/>
          <w:szCs w:val="32"/>
          <w:lang w:val="en"/>
        </w:rPr>
      </w:pPr>
      <w:r>
        <w:rPr>
          <w:rFonts w:hint="default" w:ascii="仿宋_GB2312" w:hAnsi="仿宋_GB2312" w:eastAsia="仿宋_GB2312" w:cs="Times New Roman"/>
          <w:spacing w:val="0"/>
          <w:sz w:val="32"/>
          <w:szCs w:val="32"/>
          <w:lang w:val="en"/>
        </w:rPr>
        <w:t>如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beforeLines="0" w:afterLines="0" w:line="360" w:lineRule="auto"/>
        <w:jc w:val="center"/>
        <w:outlineLvl w:val="9"/>
        <w:rPr>
          <w:rFonts w:hint="eastAsia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28"/>
          <w:szCs w:val="28"/>
        </w:rPr>
      </w:pPr>
    </w:p>
    <w:p>
      <w:pPr>
        <w:snapToGrid w:val="0"/>
        <w:spacing w:line="360" w:lineRule="auto"/>
        <w:ind w:right="28"/>
        <w:jc w:val="left"/>
        <w:rPr>
          <w:rFonts w:ascii="黑体" w:eastAsia="黑体"/>
          <w:spacing w:val="8"/>
          <w:sz w:val="24"/>
          <w:szCs w:val="24"/>
        </w:rPr>
      </w:pPr>
    </w:p>
    <w:p>
      <w:pPr>
        <w:pBdr>
          <w:top w:val="single" w:color="auto" w:sz="8" w:space="6"/>
        </w:pBdr>
        <w:adjustRightInd w:val="0"/>
        <w:snapToGrid w:val="0"/>
        <w:spacing w:after="109" w:afterLines="35"/>
        <w:ind w:firstLine="296" w:firstLineChars="100"/>
        <w:rPr>
          <w:rFonts w:hint="eastAsia" w:ascii="仿宋_GB2312" w:eastAsia="仿宋_GB2312"/>
          <w:spacing w:val="0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6"/>
          <w:sz w:val="28"/>
        </w:rPr>
        <w:t>证监会上市司、法治司；深圳证券交易所</w:t>
      </w:r>
      <w:r>
        <w:rPr>
          <w:rFonts w:hint="eastAsia" w:ascii="仿宋_GB2312" w:eastAsia="仿宋_GB2312"/>
          <w:spacing w:val="0"/>
          <w:sz w:val="28"/>
          <w:lang w:val="en-US"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    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6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28</w:t>
      </w:r>
      <w:r>
        <w:rPr>
          <w:rFonts w:hint="eastAsia" w:ascii="仿宋_GB2312" w:eastAsia="仿宋_GB2312"/>
          <w:spacing w:val="8"/>
          <w:sz w:val="28"/>
        </w:rPr>
        <w:t>日印发</w:t>
      </w:r>
    </w:p>
    <w:bookmarkEnd w:id="0"/>
    <w:p>
      <w:pPr>
        <w:widowControl w:val="0"/>
        <w:pBdr>
          <w:top w:val="single" w:color="auto" w:sz="8" w:space="7"/>
        </w:pBdr>
        <w:overflowPunct w:val="0"/>
        <w:adjustRightInd w:val="0"/>
        <w:snapToGrid w:val="0"/>
        <w:spacing w:beforeLines="0" w:afterLines="0"/>
        <w:jc w:val="left"/>
        <w:rPr>
          <w:rFonts w:ascii="仿宋_GB2312" w:eastAsia="仿宋_GB2312"/>
          <w:spacing w:val="8"/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FE9C3"/>
    <w:rsid w:val="19EFA811"/>
    <w:rsid w:val="59AED7E5"/>
    <w:rsid w:val="5DD7F589"/>
    <w:rsid w:val="77DD70D5"/>
    <w:rsid w:val="7A7FD097"/>
    <w:rsid w:val="7EE77D26"/>
    <w:rsid w:val="AFB73866"/>
    <w:rsid w:val="B4D6AE75"/>
    <w:rsid w:val="D7BFE9C3"/>
    <w:rsid w:val="DEFA90E5"/>
    <w:rsid w:val="EFFFCC61"/>
    <w:rsid w:val="F5F7068A"/>
    <w:rsid w:val="FE69C13F"/>
    <w:rsid w:val="FFB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2023-07-16T06:26:00Z</dcterms:created>
  <dc:creator>陈泓安</dc:creator>
  <cp:lastModifiedBy>陈泓安</cp:lastModifiedBy>
  <cp:lastPrinted>2023-07-18T11:52:00Z</cp:lastPrinted>
  <dcterms:modified xsi:type="dcterms:W3CDTF">2024-07-03T08:48:29Z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2D1DE27EED2596EA2441AE64B8FC518E</vt:lpwstr>
  </property>
</Properties>
</file>