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微软雅黑" w:eastAsia="黑体"/>
          <w:bCs/>
          <w:sz w:val="36"/>
          <w:szCs w:val="36"/>
        </w:rPr>
      </w:pPr>
      <w:r>
        <w:rPr>
          <w:rFonts w:hint="eastAsia" w:ascii="黑体" w:hAnsi="微软雅黑" w:eastAsia="黑体"/>
          <w:bCs/>
          <w:sz w:val="36"/>
          <w:szCs w:val="36"/>
        </w:rPr>
        <w:t>安徽证监局201</w:t>
      </w:r>
      <w:r>
        <w:rPr>
          <w:rFonts w:hint="eastAsia" w:ascii="黑体" w:hAnsi="微软雅黑" w:eastAsia="黑体"/>
          <w:bCs/>
          <w:sz w:val="36"/>
          <w:szCs w:val="36"/>
          <w:lang w:val="en-US" w:eastAsia="zh-CN"/>
        </w:rPr>
        <w:t>7</w:t>
      </w:r>
      <w:r>
        <w:rPr>
          <w:rFonts w:hint="eastAsia" w:ascii="黑体" w:hAnsi="微软雅黑" w:eastAsia="黑体"/>
          <w:bCs/>
          <w:sz w:val="36"/>
          <w:szCs w:val="36"/>
        </w:rPr>
        <w:t>年政府信息公开工作年度报告</w:t>
      </w:r>
    </w:p>
    <w:p>
      <w:pPr>
        <w:jc w:val="center"/>
        <w:rPr>
          <w:rFonts w:ascii="微软雅黑" w:hAnsi="微软雅黑" w:eastAsia="微软雅黑"/>
          <w:b/>
          <w:bCs/>
          <w:sz w:val="36"/>
          <w:szCs w:val="36"/>
        </w:rPr>
      </w:pPr>
    </w:p>
    <w:p>
      <w:pPr>
        <w:widowControl/>
        <w:shd w:val="clear" w:color="auto" w:fill="FFFFFF"/>
        <w:spacing w:line="480" w:lineRule="auto"/>
        <w:ind w:firstLine="640" w:firstLineChars="200"/>
        <w:jc w:val="left"/>
        <w:rPr>
          <w:rFonts w:ascii="仿宋_GB2312" w:hAnsi="inherit" w:eastAsia="仿宋_GB2312" w:cs="宋体"/>
          <w:kern w:val="0"/>
          <w:sz w:val="32"/>
          <w:szCs w:val="32"/>
        </w:rPr>
      </w:pPr>
      <w:r>
        <w:rPr>
          <w:rFonts w:hint="eastAsia" w:ascii="仿宋_GB2312" w:hAnsi="inherit" w:eastAsia="仿宋_GB2312"/>
          <w:sz w:val="32"/>
          <w:szCs w:val="32"/>
        </w:rPr>
        <w:t>201</w:t>
      </w:r>
      <w:r>
        <w:rPr>
          <w:rFonts w:hint="eastAsia" w:ascii="仿宋_GB2312" w:hAnsi="inherit" w:eastAsia="仿宋_GB2312"/>
          <w:sz w:val="32"/>
          <w:szCs w:val="32"/>
          <w:lang w:val="en-US" w:eastAsia="zh-CN"/>
        </w:rPr>
        <w:t>7</w:t>
      </w:r>
      <w:r>
        <w:rPr>
          <w:rFonts w:hint="eastAsia" w:ascii="仿宋_GB2312" w:hAnsi="inherit" w:eastAsia="仿宋_GB2312"/>
          <w:sz w:val="32"/>
          <w:szCs w:val="32"/>
        </w:rPr>
        <w:t>年，安徽证监局在中国证监会的正确领导下，</w:t>
      </w:r>
      <w:r>
        <w:rPr>
          <w:rFonts w:hint="eastAsia" w:ascii="仿宋_GB2312" w:hAnsi="inherit" w:eastAsia="仿宋_GB2312" w:cs="宋体"/>
          <w:kern w:val="0"/>
          <w:sz w:val="32"/>
          <w:szCs w:val="32"/>
        </w:rPr>
        <w:t>认真落实《中华人民共和国政府信息公开条例》、《中国证券监督管理委员会证券期货监督管理信息公开办法（试行）》有关规定，现公布安徽证监局201</w:t>
      </w:r>
      <w:r>
        <w:rPr>
          <w:rFonts w:hint="eastAsia" w:ascii="仿宋_GB2312" w:hAnsi="inherit" w:eastAsia="仿宋_GB2312" w:cs="宋体"/>
          <w:kern w:val="0"/>
          <w:sz w:val="32"/>
          <w:szCs w:val="32"/>
          <w:lang w:val="en-US" w:eastAsia="zh-CN"/>
        </w:rPr>
        <w:t>7</w:t>
      </w:r>
      <w:r>
        <w:rPr>
          <w:rFonts w:hint="eastAsia" w:ascii="仿宋_GB2312" w:hAnsi="inherit" w:eastAsia="仿宋_GB2312" w:cs="宋体"/>
          <w:kern w:val="0"/>
          <w:sz w:val="32"/>
          <w:szCs w:val="32"/>
        </w:rPr>
        <w:t>年度监管信息公开工作有关情况。</w:t>
      </w:r>
    </w:p>
    <w:p>
      <w:pPr>
        <w:widowControl/>
        <w:shd w:val="clear" w:color="auto" w:fill="FFFFFF"/>
        <w:spacing w:line="480" w:lineRule="auto"/>
        <w:ind w:firstLine="643" w:firstLineChars="200"/>
        <w:jc w:val="left"/>
        <w:outlineLvl w:val="0"/>
        <w:rPr>
          <w:rFonts w:ascii="黑体" w:hAnsi="inherit" w:eastAsia="黑体" w:cs="宋体"/>
          <w:b w:val="0"/>
          <w:bCs w:val="0"/>
          <w:color w:val="333333"/>
          <w:kern w:val="0"/>
          <w:sz w:val="32"/>
          <w:szCs w:val="32"/>
        </w:rPr>
      </w:pPr>
      <w:r>
        <w:rPr>
          <w:rFonts w:hint="eastAsia" w:ascii="黑体" w:hAnsi="inherit" w:eastAsia="黑体" w:cs="宋体"/>
          <w:b w:val="0"/>
          <w:bCs w:val="0"/>
          <w:color w:val="333333"/>
          <w:kern w:val="0"/>
          <w:sz w:val="32"/>
          <w:szCs w:val="32"/>
        </w:rPr>
        <w:t>一、加强组织领导</w:t>
      </w:r>
    </w:p>
    <w:p>
      <w:pPr>
        <w:widowControl/>
        <w:shd w:val="clear" w:color="auto" w:fill="FFFFFF"/>
        <w:spacing w:line="480" w:lineRule="auto"/>
        <w:ind w:firstLine="640" w:firstLineChars="200"/>
        <w:jc w:val="left"/>
        <w:rPr>
          <w:rFonts w:ascii="仿宋_GB2312" w:hAnsi="inherit" w:eastAsia="仿宋_GB2312" w:cs="宋体"/>
          <w:color w:val="333333"/>
          <w:kern w:val="0"/>
          <w:sz w:val="24"/>
          <w:szCs w:val="24"/>
        </w:rPr>
      </w:pPr>
      <w:r>
        <w:rPr>
          <w:rFonts w:hint="eastAsia" w:ascii="仿宋_GB2312" w:hAnsi="inherit" w:eastAsia="仿宋_GB2312"/>
          <w:sz w:val="32"/>
          <w:szCs w:val="32"/>
        </w:rPr>
        <w:t>我局明确由分管副局长任局政务公开工作领导小组组长，办公室负责人任政务公开工作办公室主任；强化“党委领导、行政主抓、办公室牵头、纪检监督检查”的工作机制；定期召开局长办公例会，听取政务公开工作情况报告；结合201</w:t>
      </w:r>
      <w:r>
        <w:rPr>
          <w:rFonts w:hint="eastAsia" w:ascii="仿宋_GB2312" w:hAnsi="inherit" w:eastAsia="仿宋_GB2312"/>
          <w:sz w:val="32"/>
          <w:szCs w:val="32"/>
          <w:lang w:val="en-US" w:eastAsia="zh-CN"/>
        </w:rPr>
        <w:t>7</w:t>
      </w:r>
      <w:r>
        <w:rPr>
          <w:rFonts w:hint="eastAsia" w:ascii="仿宋_GB2312" w:hAnsi="inherit" w:eastAsia="仿宋_GB2312"/>
          <w:sz w:val="32"/>
          <w:szCs w:val="32"/>
        </w:rPr>
        <w:t>年工作计划安排，将政务公开工作纳入全局年度责任目标考核；建立政务公开层级责任机制。</w:t>
      </w:r>
    </w:p>
    <w:p>
      <w:pPr>
        <w:widowControl/>
        <w:shd w:val="clear" w:color="auto" w:fill="FFFFFF"/>
        <w:spacing w:line="480" w:lineRule="auto"/>
        <w:ind w:firstLine="640" w:firstLineChars="200"/>
        <w:jc w:val="left"/>
        <w:outlineLvl w:val="0"/>
        <w:rPr>
          <w:rFonts w:ascii="黑体" w:hAnsi="inherit" w:eastAsia="黑体" w:cs="宋体"/>
          <w:color w:val="333333"/>
          <w:kern w:val="0"/>
          <w:sz w:val="32"/>
          <w:szCs w:val="32"/>
        </w:rPr>
      </w:pPr>
      <w:r>
        <w:rPr>
          <w:rFonts w:hint="eastAsia" w:ascii="黑体" w:hAnsi="inherit" w:eastAsia="黑体" w:cs="宋体"/>
          <w:color w:val="333333"/>
          <w:kern w:val="0"/>
          <w:sz w:val="32"/>
          <w:szCs w:val="32"/>
        </w:rPr>
        <w:t>二、强化制度建设</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我局历来注重加强信息公开的制度建设，做到信息公开工作有章可循。201</w:t>
      </w:r>
      <w:r>
        <w:rPr>
          <w:rFonts w:hint="eastAsia" w:ascii="仿宋_GB2312" w:hAnsi="inherit" w:eastAsia="仿宋_GB2312"/>
          <w:sz w:val="32"/>
          <w:szCs w:val="32"/>
          <w:lang w:val="en-US" w:eastAsia="zh-CN"/>
        </w:rPr>
        <w:t>7</w:t>
      </w:r>
      <w:r>
        <w:rPr>
          <w:rFonts w:hint="eastAsia" w:ascii="仿宋_GB2312" w:hAnsi="inherit" w:eastAsia="仿宋_GB2312"/>
          <w:sz w:val="32"/>
          <w:szCs w:val="32"/>
        </w:rPr>
        <w:t>年全年，严格落实《安徽证监局政府信息公开管理办法》，在互联网站上及时公开各项行政审批流程，努力营造规范、透明、高效的监管环境。</w:t>
      </w:r>
    </w:p>
    <w:p>
      <w:pPr>
        <w:widowControl/>
        <w:shd w:val="clear" w:color="auto" w:fill="FFFFFF"/>
        <w:spacing w:line="480" w:lineRule="auto"/>
        <w:ind w:firstLine="640" w:firstLineChars="200"/>
        <w:jc w:val="left"/>
        <w:outlineLvl w:val="0"/>
        <w:rPr>
          <w:rFonts w:ascii="黑体" w:hAnsi="inherit" w:eastAsia="黑体" w:cs="宋体"/>
          <w:color w:val="333333"/>
          <w:kern w:val="0"/>
          <w:sz w:val="32"/>
          <w:szCs w:val="32"/>
        </w:rPr>
      </w:pPr>
      <w:r>
        <w:rPr>
          <w:rFonts w:hint="eastAsia" w:ascii="黑体" w:hAnsi="inherit" w:eastAsia="黑体" w:cs="宋体"/>
          <w:color w:val="333333"/>
          <w:kern w:val="0"/>
          <w:sz w:val="32"/>
          <w:szCs w:val="32"/>
        </w:rPr>
        <w:t>三、完善充实信息公开内容</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201</w:t>
      </w:r>
      <w:r>
        <w:rPr>
          <w:rFonts w:hint="eastAsia" w:ascii="仿宋_GB2312" w:hAnsi="inherit" w:eastAsia="仿宋_GB2312"/>
          <w:sz w:val="32"/>
          <w:szCs w:val="32"/>
          <w:lang w:val="en-US" w:eastAsia="zh-CN"/>
        </w:rPr>
        <w:t>7</w:t>
      </w:r>
      <w:r>
        <w:rPr>
          <w:rFonts w:hint="eastAsia" w:ascii="仿宋_GB2312" w:hAnsi="inherit" w:eastAsia="仿宋_GB2312"/>
          <w:sz w:val="32"/>
          <w:szCs w:val="32"/>
        </w:rPr>
        <w:t>年以来，我局依据《安徽证监局网上信息发布管理规定》等相关文件，加快了主动公开信息的速度、增加了主动公开信息的数量。对重要的、能公开的监管工作信息，做到主动公开；对于我局作出的所有行政许可以及行政许可进度等市场关注度高的信息，均在第一时间进行主动公开；将各项业务的办事指南或办事流程，在局信息公开平台主动公开，以方便监管对象。</w:t>
      </w:r>
    </w:p>
    <w:p>
      <w:pPr>
        <w:widowControl/>
        <w:shd w:val="clear" w:color="auto" w:fill="FFFFFF"/>
        <w:spacing w:line="480" w:lineRule="auto"/>
        <w:ind w:firstLine="640" w:firstLineChars="200"/>
        <w:jc w:val="left"/>
        <w:outlineLvl w:val="0"/>
        <w:rPr>
          <w:rFonts w:ascii="黑体" w:hAnsi="inherit" w:eastAsia="黑体" w:cs="宋体"/>
          <w:color w:val="333333"/>
          <w:kern w:val="0"/>
          <w:sz w:val="32"/>
          <w:szCs w:val="32"/>
        </w:rPr>
      </w:pPr>
      <w:r>
        <w:rPr>
          <w:rFonts w:hint="eastAsia" w:ascii="黑体" w:hAnsi="inherit" w:eastAsia="黑体" w:cs="宋体"/>
          <w:color w:val="333333"/>
          <w:kern w:val="0"/>
          <w:sz w:val="32"/>
          <w:szCs w:val="32"/>
        </w:rPr>
        <w:t>四、认真做好公开信息保密审查</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201</w:t>
      </w:r>
      <w:r>
        <w:rPr>
          <w:rFonts w:hint="eastAsia" w:ascii="仿宋_GB2312" w:hAnsi="inherit" w:eastAsia="仿宋_GB2312"/>
          <w:sz w:val="32"/>
          <w:szCs w:val="32"/>
          <w:lang w:val="en-US" w:eastAsia="zh-CN"/>
        </w:rPr>
        <w:t>7</w:t>
      </w:r>
      <w:r>
        <w:rPr>
          <w:rFonts w:hint="eastAsia" w:ascii="仿宋_GB2312" w:hAnsi="inherit" w:eastAsia="仿宋_GB2312"/>
          <w:sz w:val="32"/>
          <w:szCs w:val="32"/>
        </w:rPr>
        <w:t>年，我局对信息公开网站发布的信息进行了全面梳理和保密自查。对拟外网发布的信息明确专人从事监管信息公开的保密审查工作，强化责任落实，明确信息公开的属性、公开方式、公开时间，严格坚持先审查、后公开的原则，确保各项公开的信息符合国</w:t>
      </w:r>
      <w:bookmarkStart w:id="0" w:name="_GoBack"/>
      <w:bookmarkEnd w:id="0"/>
      <w:r>
        <w:rPr>
          <w:rFonts w:hint="eastAsia" w:ascii="仿宋_GB2312" w:hAnsi="inherit" w:eastAsia="仿宋_GB2312"/>
          <w:sz w:val="32"/>
          <w:szCs w:val="32"/>
        </w:rPr>
        <w:t>家保密要求。</w:t>
      </w:r>
    </w:p>
    <w:p>
      <w:pPr>
        <w:widowControl/>
        <w:shd w:val="clear" w:color="auto" w:fill="FFFFFF"/>
        <w:spacing w:line="480" w:lineRule="auto"/>
        <w:ind w:firstLine="640" w:firstLineChars="200"/>
        <w:jc w:val="left"/>
        <w:outlineLvl w:val="0"/>
        <w:rPr>
          <w:rFonts w:ascii="黑体" w:hAnsi="inherit" w:eastAsia="黑体" w:cs="宋体"/>
          <w:color w:val="333333"/>
          <w:kern w:val="0"/>
          <w:sz w:val="32"/>
          <w:szCs w:val="32"/>
        </w:rPr>
      </w:pPr>
      <w:r>
        <w:rPr>
          <w:rFonts w:hint="eastAsia" w:ascii="黑体" w:hAnsi="inherit" w:eastAsia="黑体" w:cs="宋体"/>
          <w:color w:val="333333"/>
          <w:kern w:val="0"/>
          <w:sz w:val="32"/>
          <w:szCs w:val="32"/>
        </w:rPr>
        <w:t>五、安徽证监局201</w:t>
      </w:r>
      <w:r>
        <w:rPr>
          <w:rFonts w:hint="eastAsia" w:ascii="黑体" w:hAnsi="inherit" w:eastAsia="黑体" w:cs="宋体"/>
          <w:color w:val="333333"/>
          <w:kern w:val="0"/>
          <w:sz w:val="32"/>
          <w:szCs w:val="32"/>
          <w:lang w:val="en-US" w:eastAsia="zh-CN"/>
        </w:rPr>
        <w:t>7年</w:t>
      </w:r>
      <w:r>
        <w:rPr>
          <w:rFonts w:hint="eastAsia" w:ascii="黑体" w:hAnsi="inherit" w:eastAsia="黑体" w:cs="宋体"/>
          <w:color w:val="333333"/>
          <w:kern w:val="0"/>
          <w:sz w:val="32"/>
          <w:szCs w:val="32"/>
        </w:rPr>
        <w:t>信息公开情况</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201</w:t>
      </w:r>
      <w:r>
        <w:rPr>
          <w:rFonts w:hint="eastAsia" w:ascii="仿宋_GB2312" w:hAnsi="inherit" w:eastAsia="仿宋_GB2312"/>
          <w:sz w:val="32"/>
          <w:szCs w:val="32"/>
          <w:lang w:val="en-US" w:eastAsia="zh-CN"/>
        </w:rPr>
        <w:t>7</w:t>
      </w:r>
      <w:r>
        <w:rPr>
          <w:rFonts w:hint="eastAsia" w:ascii="仿宋_GB2312" w:hAnsi="inherit" w:eastAsia="仿宋_GB2312"/>
          <w:sz w:val="32"/>
          <w:szCs w:val="32"/>
        </w:rPr>
        <w:t>年，安徽证监局通过互联网站对外主动公开政府信息</w:t>
      </w:r>
      <w:r>
        <w:rPr>
          <w:rFonts w:hint="eastAsia" w:ascii="仿宋_GB2312" w:hAnsi="inherit" w:eastAsia="仿宋_GB2312"/>
          <w:sz w:val="32"/>
          <w:szCs w:val="32"/>
          <w:lang w:val="en-US" w:eastAsia="zh-CN"/>
        </w:rPr>
        <w:t>232</w:t>
      </w:r>
      <w:r>
        <w:rPr>
          <w:rFonts w:hint="eastAsia" w:ascii="仿宋_GB2312" w:hAnsi="inherit" w:eastAsia="仿宋_GB2312"/>
          <w:sz w:val="32"/>
          <w:szCs w:val="32"/>
        </w:rPr>
        <w:t>条，主要涵盖以下方面：</w:t>
      </w:r>
    </w:p>
    <w:p>
      <w:pPr>
        <w:widowControl/>
        <w:shd w:val="clear" w:color="auto" w:fill="FFFFFF"/>
        <w:spacing w:line="480" w:lineRule="auto"/>
        <w:ind w:firstLine="643" w:firstLineChars="200"/>
        <w:jc w:val="left"/>
        <w:rPr>
          <w:rFonts w:ascii="楷体_GB2312" w:hAnsi="inherit" w:eastAsia="楷体_GB2312"/>
          <w:b/>
          <w:sz w:val="32"/>
          <w:szCs w:val="32"/>
        </w:rPr>
      </w:pPr>
      <w:r>
        <w:rPr>
          <w:rFonts w:hint="eastAsia" w:ascii="楷体_GB2312" w:hAnsi="inherit" w:eastAsia="楷体_GB2312"/>
          <w:b/>
          <w:sz w:val="32"/>
          <w:szCs w:val="32"/>
        </w:rPr>
        <w:t>（一）工作动态以及重要监管措施</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在“监管工作”栏目发布我局工作动态1</w:t>
      </w:r>
      <w:r>
        <w:rPr>
          <w:rFonts w:hint="eastAsia" w:ascii="仿宋_GB2312" w:hAnsi="inherit" w:eastAsia="仿宋_GB2312"/>
          <w:sz w:val="32"/>
          <w:szCs w:val="32"/>
          <w:lang w:val="en-US" w:eastAsia="zh-CN"/>
        </w:rPr>
        <w:t>7</w:t>
      </w:r>
      <w:r>
        <w:rPr>
          <w:rFonts w:hint="eastAsia" w:ascii="仿宋_GB2312" w:hAnsi="inherit" w:eastAsia="仿宋_GB2312"/>
          <w:sz w:val="32"/>
          <w:szCs w:val="32"/>
        </w:rPr>
        <w:t>条，主要包括我局重要工作会议、重要监管措施、投资者保护、培训教育、重点工作进展等情况。在“通知公告”栏目发布相关公告信息</w:t>
      </w:r>
      <w:r>
        <w:rPr>
          <w:rFonts w:hint="eastAsia" w:ascii="仿宋_GB2312" w:hAnsi="inherit" w:eastAsia="仿宋_GB2312"/>
          <w:sz w:val="32"/>
          <w:szCs w:val="32"/>
          <w:lang w:val="en-US" w:eastAsia="zh-CN"/>
        </w:rPr>
        <w:t>33</w:t>
      </w:r>
      <w:r>
        <w:rPr>
          <w:rFonts w:hint="eastAsia" w:ascii="仿宋_GB2312" w:hAnsi="inherit" w:eastAsia="仿宋_GB2312"/>
          <w:sz w:val="32"/>
          <w:szCs w:val="32"/>
        </w:rPr>
        <w:t>条，主要包括我局公招录用、出具警示函等情况。在“证监局介绍”栏目更新我局机构职能、领导信息</w:t>
      </w:r>
      <w:r>
        <w:rPr>
          <w:rFonts w:hint="eastAsia" w:ascii="仿宋_GB2312" w:hAnsi="inherit" w:eastAsia="仿宋_GB2312"/>
          <w:sz w:val="32"/>
          <w:szCs w:val="32"/>
          <w:lang w:eastAsia="zh-CN"/>
        </w:rPr>
        <w:t>、</w:t>
      </w:r>
      <w:r>
        <w:rPr>
          <w:rFonts w:hint="eastAsia" w:ascii="仿宋_GB2312" w:hAnsi="inherit" w:eastAsia="仿宋_GB2312"/>
          <w:sz w:val="32"/>
          <w:szCs w:val="32"/>
        </w:rPr>
        <w:t>联系方式</w:t>
      </w:r>
      <w:r>
        <w:rPr>
          <w:rFonts w:hint="eastAsia" w:ascii="仿宋_GB2312" w:hAnsi="inherit" w:eastAsia="仿宋_GB2312"/>
          <w:sz w:val="32"/>
          <w:szCs w:val="32"/>
          <w:lang w:eastAsia="zh-CN"/>
        </w:rPr>
        <w:t>及辖区情况介绍等</w:t>
      </w:r>
      <w:r>
        <w:rPr>
          <w:rFonts w:hint="eastAsia" w:ascii="仿宋_GB2312" w:hAnsi="inherit" w:eastAsia="仿宋_GB2312"/>
          <w:sz w:val="32"/>
          <w:szCs w:val="32"/>
        </w:rPr>
        <w:t>内容</w:t>
      </w:r>
      <w:r>
        <w:rPr>
          <w:rFonts w:hint="eastAsia" w:ascii="仿宋_GB2312" w:hAnsi="inherit" w:eastAsia="仿宋_GB2312"/>
          <w:sz w:val="32"/>
          <w:szCs w:val="32"/>
          <w:lang w:val="en-US" w:eastAsia="zh-CN"/>
        </w:rPr>
        <w:t>4</w:t>
      </w:r>
      <w:r>
        <w:rPr>
          <w:rFonts w:hint="eastAsia" w:ascii="仿宋_GB2312" w:hAnsi="inherit" w:eastAsia="仿宋_GB2312"/>
          <w:sz w:val="32"/>
          <w:szCs w:val="32"/>
        </w:rPr>
        <w:t>条。</w:t>
      </w:r>
    </w:p>
    <w:p>
      <w:pPr>
        <w:widowControl/>
        <w:shd w:val="clear" w:color="auto" w:fill="FFFFFF"/>
        <w:spacing w:line="480" w:lineRule="auto"/>
        <w:jc w:val="center"/>
        <w:rPr>
          <w:rFonts w:hint="eastAsia" w:ascii="inherit" w:hAnsi="inherit" w:eastAsia="宋体" w:cs="宋体"/>
          <w:color w:val="333333"/>
          <w:kern w:val="0"/>
          <w:sz w:val="24"/>
          <w:szCs w:val="24"/>
          <w:lang w:eastAsia="zh-CN"/>
        </w:rPr>
      </w:pPr>
      <w:r>
        <w:rPr>
          <w:rFonts w:hint="eastAsia" w:ascii="inherit" w:hAnsi="inherit" w:eastAsia="宋体" w:cs="宋体"/>
          <w:color w:val="333333"/>
          <w:kern w:val="0"/>
          <w:sz w:val="24"/>
          <w:szCs w:val="24"/>
          <w:lang w:val="en-US" w:eastAsia="zh-CN" w:bidi="ar-SA"/>
        </w:rPr>
        <w:pict>
          <v:shape id="图片 7" o:spid="_x0000_s1026" type="#_x0000_t75" style="height:285.6pt;width:415.05pt;rotation:0f;" o:ole="f" fillcolor="#FFFFFF" filled="f" o:preferrelative="t" stroked="f" coordorigin="0,0" coordsize="21600,21600">
            <v:fill on="f" color2="#FFFFFF" focus="0%"/>
            <v:imagedata gain="65536f" blacklevel="0f" gamma="0" o:title="1" r:id="rId7"/>
            <o:lock v:ext="edit" position="f" selection="f" grouping="f" rotation="f" cropping="f" text="f" aspectratio="t"/>
            <w10:wrap type="none"/>
            <w10:anchorlock/>
          </v:shape>
        </w:pict>
      </w:r>
    </w:p>
    <w:p>
      <w:pPr>
        <w:widowControl/>
        <w:shd w:val="clear" w:color="auto" w:fill="FFFFFF"/>
        <w:spacing w:line="480" w:lineRule="auto"/>
        <w:ind w:firstLine="643" w:firstLineChars="200"/>
        <w:jc w:val="left"/>
        <w:rPr>
          <w:rFonts w:ascii="楷体_GB2312" w:hAnsi="inherit" w:eastAsia="楷体_GB2312"/>
          <w:b/>
          <w:sz w:val="32"/>
          <w:szCs w:val="32"/>
        </w:rPr>
      </w:pPr>
      <w:r>
        <w:rPr>
          <w:rFonts w:hint="eastAsia" w:ascii="楷体_GB2312" w:hAnsi="inherit" w:eastAsia="楷体_GB2312"/>
          <w:b/>
          <w:sz w:val="32"/>
          <w:szCs w:val="32"/>
        </w:rPr>
        <w:t>（二）行政监管措施和行政处罚</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在局互联网站首页设立“行政许可”、“行政处罚”栏目，201</w:t>
      </w:r>
      <w:r>
        <w:rPr>
          <w:rFonts w:hint="eastAsia" w:ascii="仿宋_GB2312" w:hAnsi="inherit" w:eastAsia="仿宋_GB2312"/>
          <w:sz w:val="32"/>
          <w:szCs w:val="32"/>
          <w:lang w:val="en-US" w:eastAsia="zh-CN"/>
        </w:rPr>
        <w:t>7</w:t>
      </w:r>
      <w:r>
        <w:rPr>
          <w:rFonts w:hint="eastAsia" w:ascii="仿宋_GB2312" w:hAnsi="inherit" w:eastAsia="仿宋_GB2312"/>
          <w:sz w:val="32"/>
          <w:szCs w:val="32"/>
        </w:rPr>
        <w:t>年发布行政许可批复5</w:t>
      </w:r>
      <w:r>
        <w:rPr>
          <w:rFonts w:hint="eastAsia" w:ascii="仿宋_GB2312" w:hAnsi="inherit" w:eastAsia="仿宋_GB2312"/>
          <w:sz w:val="32"/>
          <w:szCs w:val="32"/>
          <w:lang w:val="en-US" w:eastAsia="zh-CN"/>
        </w:rPr>
        <w:t>8</w:t>
      </w:r>
      <w:r>
        <w:rPr>
          <w:rFonts w:hint="eastAsia" w:ascii="仿宋_GB2312" w:hAnsi="inherit" w:eastAsia="仿宋_GB2312"/>
          <w:sz w:val="32"/>
          <w:szCs w:val="32"/>
        </w:rPr>
        <w:t>件，发布行政处罚决定书</w:t>
      </w:r>
      <w:r>
        <w:rPr>
          <w:rFonts w:hint="eastAsia" w:ascii="仿宋_GB2312" w:hAnsi="inherit" w:eastAsia="仿宋_GB2312"/>
          <w:sz w:val="32"/>
          <w:szCs w:val="32"/>
          <w:lang w:val="en-US" w:eastAsia="zh-CN"/>
        </w:rPr>
        <w:t>6</w:t>
      </w:r>
      <w:r>
        <w:rPr>
          <w:rFonts w:hint="eastAsia" w:ascii="仿宋_GB2312" w:hAnsi="inherit" w:eastAsia="仿宋_GB2312"/>
          <w:sz w:val="32"/>
          <w:szCs w:val="32"/>
        </w:rPr>
        <w:t>件。</w:t>
      </w:r>
    </w:p>
    <w:p>
      <w:pPr>
        <w:widowControl/>
        <w:shd w:val="clear" w:color="auto" w:fill="FFFFFF"/>
        <w:spacing w:line="480" w:lineRule="auto"/>
        <w:ind w:firstLine="480" w:firstLineChars="200"/>
        <w:jc w:val="center"/>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pict>
          <v:shape id="图片 8" o:spid="_x0000_s1027" type="#_x0000_t75" style="height:170.1pt;width:245.25pt;rotation:0f;" o:ole="f" fillcolor="#FFFFFF" filled="f" o:preferrelative="t" stroked="f" coordorigin="0,0" coordsize="21600,21600">
            <v:fill on="f" color2="#FFFFFF" focus="0%"/>
            <v:imagedata gain="65536f" blacklevel="0f" gamma="0" o:title="2" r:id="rId8"/>
            <o:lock v:ext="edit" position="f" selection="f" grouping="f" rotation="f" cropping="f" text="f" aspectratio="t"/>
            <w10:wrap type="none"/>
            <w10:anchorlock/>
          </v:shape>
        </w:pict>
      </w:r>
    </w:p>
    <w:p>
      <w:pPr>
        <w:widowControl/>
        <w:shd w:val="clear" w:color="auto" w:fill="FFFFFF"/>
        <w:spacing w:line="480" w:lineRule="auto"/>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kern w:val="2"/>
          <w:sz w:val="24"/>
          <w:szCs w:val="24"/>
          <w:lang w:val="en-US" w:eastAsia="zh-CN" w:bidi="ar-SA"/>
        </w:rPr>
        <w:pict>
          <v:shape id="图片 9" o:spid="_x0000_s1028" type="#_x0000_t75" style="height:97.75pt;width:384.35pt;rotation:0f;" o:ole="f" fillcolor="#FFFFFF" filled="f" o:preferrelative="t" stroked="f" coordorigin="0,0" coordsize="21600,21600">
            <v:fill on="f" color2="#FFFFFF" focus="0%"/>
            <v:imagedata gain="65536f" blacklevel="0f" gamma="0" o:title="3" r:id="rId9"/>
            <o:lock v:ext="edit" position="f" selection="f" grouping="f" rotation="f" cropping="f" text="f" aspectratio="t"/>
            <w10:wrap type="none"/>
            <w10:anchorlock/>
          </v:shape>
        </w:pict>
      </w:r>
    </w:p>
    <w:p>
      <w:pPr>
        <w:widowControl/>
        <w:shd w:val="clear" w:color="auto" w:fill="FFFFFF"/>
        <w:spacing w:line="480" w:lineRule="auto"/>
        <w:ind w:firstLine="643" w:firstLineChars="200"/>
        <w:jc w:val="left"/>
        <w:rPr>
          <w:rFonts w:ascii="楷体_GB2312" w:hAnsi="inherit" w:eastAsia="楷体_GB2312"/>
          <w:b/>
          <w:sz w:val="32"/>
          <w:szCs w:val="32"/>
        </w:rPr>
      </w:pPr>
      <w:r>
        <w:rPr>
          <w:rFonts w:hint="eastAsia" w:ascii="楷体_GB2312" w:hAnsi="inherit" w:eastAsia="楷体_GB2312"/>
          <w:b/>
          <w:sz w:val="32"/>
          <w:szCs w:val="32"/>
        </w:rPr>
        <w:t>（三）行政批复及企业辅导信息</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根据证监会有关深化行政审批体制改革的要求，201</w:t>
      </w:r>
      <w:r>
        <w:rPr>
          <w:rFonts w:hint="eastAsia" w:ascii="仿宋_GB2312" w:hAnsi="inherit" w:eastAsia="仿宋_GB2312"/>
          <w:sz w:val="32"/>
          <w:szCs w:val="32"/>
          <w:lang w:val="en-US" w:eastAsia="zh-CN"/>
        </w:rPr>
        <w:t>7</w:t>
      </w:r>
      <w:r>
        <w:rPr>
          <w:rFonts w:hint="eastAsia" w:ascii="仿宋_GB2312" w:hAnsi="inherit" w:eastAsia="仿宋_GB2312"/>
          <w:sz w:val="32"/>
          <w:szCs w:val="32"/>
        </w:rPr>
        <w:t>年我局坚持每周公布辖区证券期货经营机构行政许可审核公示表。201</w:t>
      </w:r>
      <w:r>
        <w:rPr>
          <w:rFonts w:hint="eastAsia" w:ascii="仿宋_GB2312" w:hAnsi="inherit" w:eastAsia="仿宋_GB2312"/>
          <w:sz w:val="32"/>
          <w:szCs w:val="32"/>
          <w:lang w:val="en-US" w:eastAsia="zh-CN"/>
        </w:rPr>
        <w:t>7</w:t>
      </w:r>
      <w:r>
        <w:rPr>
          <w:rFonts w:hint="eastAsia" w:ascii="仿宋_GB2312" w:hAnsi="inherit" w:eastAsia="仿宋_GB2312"/>
          <w:sz w:val="32"/>
          <w:szCs w:val="32"/>
        </w:rPr>
        <w:t>年</w:t>
      </w:r>
      <w:r>
        <w:rPr>
          <w:rFonts w:ascii="仿宋_GB2312" w:hAnsi="inherit" w:eastAsia="仿宋_GB2312"/>
          <w:sz w:val="32"/>
          <w:szCs w:val="32"/>
        </w:rPr>
        <w:t>，</w:t>
      </w:r>
      <w:r>
        <w:rPr>
          <w:rFonts w:hint="eastAsia" w:ascii="仿宋_GB2312" w:hAnsi="inherit" w:eastAsia="仿宋_GB2312"/>
          <w:sz w:val="32"/>
          <w:szCs w:val="32"/>
        </w:rPr>
        <w:t>我</w:t>
      </w:r>
      <w:r>
        <w:rPr>
          <w:rFonts w:ascii="仿宋_GB2312" w:hAnsi="inherit" w:eastAsia="仿宋_GB2312"/>
          <w:sz w:val="32"/>
          <w:szCs w:val="32"/>
        </w:rPr>
        <w:t>局</w:t>
      </w:r>
      <w:r>
        <w:rPr>
          <w:rFonts w:hint="eastAsia" w:ascii="仿宋_GB2312" w:hAnsi="inherit" w:eastAsia="仿宋_GB2312"/>
          <w:sz w:val="32"/>
          <w:szCs w:val="32"/>
        </w:rPr>
        <w:t>互联网站</w:t>
      </w:r>
      <w:r>
        <w:rPr>
          <w:rFonts w:ascii="仿宋_GB2312" w:hAnsi="inherit" w:eastAsia="仿宋_GB2312"/>
          <w:sz w:val="32"/>
          <w:szCs w:val="32"/>
        </w:rPr>
        <w:t>共发布证券</w:t>
      </w:r>
      <w:r>
        <w:rPr>
          <w:rFonts w:hint="eastAsia" w:ascii="仿宋_GB2312" w:hAnsi="inherit" w:eastAsia="仿宋_GB2312"/>
          <w:sz w:val="32"/>
          <w:szCs w:val="32"/>
        </w:rPr>
        <w:t>期货经营机构</w:t>
      </w:r>
      <w:r>
        <w:rPr>
          <w:rFonts w:ascii="仿宋_GB2312" w:hAnsi="inherit" w:eastAsia="仿宋_GB2312"/>
          <w:sz w:val="32"/>
          <w:szCs w:val="32"/>
        </w:rPr>
        <w:t>行政许可</w:t>
      </w:r>
      <w:r>
        <w:rPr>
          <w:rFonts w:hint="eastAsia" w:ascii="仿宋_GB2312" w:hAnsi="inherit" w:eastAsia="仿宋_GB2312"/>
          <w:sz w:val="32"/>
          <w:szCs w:val="32"/>
        </w:rPr>
        <w:t>审核公示表5</w:t>
      </w:r>
      <w:r>
        <w:rPr>
          <w:rFonts w:hint="eastAsia" w:ascii="仿宋_GB2312" w:hAnsi="inherit" w:eastAsia="仿宋_GB2312"/>
          <w:sz w:val="32"/>
          <w:szCs w:val="32"/>
          <w:lang w:val="en-US" w:eastAsia="zh-CN"/>
        </w:rPr>
        <w:t>8</w:t>
      </w:r>
      <w:r>
        <w:rPr>
          <w:rFonts w:hint="eastAsia" w:ascii="仿宋_GB2312" w:hAnsi="inherit" w:eastAsia="仿宋_GB2312"/>
          <w:sz w:val="32"/>
          <w:szCs w:val="32"/>
        </w:rPr>
        <w:t>件；发布</w:t>
      </w:r>
      <w:r>
        <w:rPr>
          <w:rFonts w:ascii="仿宋_GB2312" w:hAnsi="inherit" w:eastAsia="仿宋_GB2312"/>
          <w:sz w:val="32"/>
          <w:szCs w:val="32"/>
        </w:rPr>
        <w:t>拟上市公司辅导备案受理登记公示</w:t>
      </w:r>
      <w:r>
        <w:rPr>
          <w:rFonts w:hint="eastAsia" w:ascii="仿宋_GB2312" w:hAnsi="inherit" w:eastAsia="仿宋_GB2312"/>
          <w:sz w:val="32"/>
          <w:szCs w:val="32"/>
        </w:rPr>
        <w:t>信息2</w:t>
      </w:r>
      <w:r>
        <w:rPr>
          <w:rFonts w:hint="eastAsia" w:ascii="仿宋_GB2312" w:hAnsi="inherit" w:eastAsia="仿宋_GB2312"/>
          <w:sz w:val="32"/>
          <w:szCs w:val="32"/>
          <w:lang w:val="en-US" w:eastAsia="zh-CN"/>
        </w:rPr>
        <w:t>2</w:t>
      </w:r>
      <w:r>
        <w:rPr>
          <w:rFonts w:ascii="仿宋_GB2312" w:hAnsi="inherit" w:eastAsia="仿宋_GB2312"/>
          <w:sz w:val="32"/>
          <w:szCs w:val="32"/>
        </w:rPr>
        <w:t>期</w:t>
      </w:r>
      <w:r>
        <w:rPr>
          <w:rFonts w:hint="eastAsia" w:ascii="仿宋_GB2312" w:hAnsi="inherit" w:eastAsia="仿宋_GB2312"/>
          <w:sz w:val="32"/>
          <w:szCs w:val="32"/>
        </w:rPr>
        <w:t>，拟上市公司辅导工作进度信息2</w:t>
      </w:r>
      <w:r>
        <w:rPr>
          <w:rFonts w:hint="eastAsia" w:ascii="仿宋_GB2312" w:hAnsi="inherit" w:eastAsia="仿宋_GB2312"/>
          <w:sz w:val="32"/>
          <w:szCs w:val="32"/>
          <w:lang w:val="en-US" w:eastAsia="zh-CN"/>
        </w:rPr>
        <w:t>2</w:t>
      </w:r>
      <w:r>
        <w:rPr>
          <w:rFonts w:hint="eastAsia" w:ascii="仿宋_GB2312" w:hAnsi="inherit" w:eastAsia="仿宋_GB2312"/>
          <w:sz w:val="32"/>
          <w:szCs w:val="32"/>
        </w:rPr>
        <w:t>期，辅导保荐机构有关辖区拟上市公司辅导工作总结报告2</w:t>
      </w:r>
      <w:r>
        <w:rPr>
          <w:rFonts w:hint="eastAsia" w:ascii="仿宋_GB2312" w:hAnsi="inherit" w:eastAsia="仿宋_GB2312"/>
          <w:sz w:val="32"/>
          <w:szCs w:val="32"/>
          <w:lang w:val="en-US" w:eastAsia="zh-CN"/>
        </w:rPr>
        <w:t>2</w:t>
      </w:r>
      <w:r>
        <w:rPr>
          <w:rFonts w:hint="eastAsia" w:ascii="仿宋_GB2312" w:hAnsi="inherit" w:eastAsia="仿宋_GB2312"/>
          <w:sz w:val="32"/>
          <w:szCs w:val="32"/>
        </w:rPr>
        <w:t>期。</w:t>
      </w:r>
    </w:p>
    <w:p>
      <w:pPr>
        <w:widowControl/>
        <w:shd w:val="clear" w:color="auto" w:fill="FFFFFF"/>
        <w:spacing w:line="480" w:lineRule="auto"/>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kern w:val="2"/>
          <w:sz w:val="24"/>
          <w:szCs w:val="24"/>
          <w:lang w:val="en-US" w:eastAsia="zh-CN" w:bidi="ar-SA"/>
        </w:rPr>
        <w:pict>
          <v:shape id="图片 8" o:spid="_x0000_s1029" type="#_x0000_t75" style="height:191.15pt;width:415.05pt;rotation:0f;" o:ole="f" fillcolor="#FFFFFF" filled="f" o:preferrelative="t" stroked="f" coordorigin="0,0" coordsize="21600,21600">
            <v:fill on="f" color2="#FFFFFF" focus="0%"/>
            <v:imagedata gain="65536f" blacklevel="0f" gamma="0" o:title="4" r:id="rId10"/>
            <o:lock v:ext="edit" position="f" selection="f" grouping="f" rotation="f" cropping="f" text="f" aspectratio="t"/>
            <w10:wrap type="none"/>
            <w10:anchorlock/>
          </v:shape>
        </w:pict>
      </w:r>
    </w:p>
    <w:p>
      <w:pPr>
        <w:widowControl/>
        <w:shd w:val="clear" w:color="auto" w:fill="FFFFFF"/>
        <w:spacing w:line="480" w:lineRule="auto"/>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kern w:val="2"/>
          <w:sz w:val="24"/>
          <w:szCs w:val="24"/>
          <w:lang w:val="en-US" w:eastAsia="zh-CN" w:bidi="ar-SA"/>
        </w:rPr>
        <w:pict>
          <v:shape id="图片 9" o:spid="_x0000_s1030" type="#_x0000_t75" style="height:143.55pt;width:415.2pt;rotation:0f;" o:ole="f" fillcolor="#FFFFFF" filled="f" o:preferrelative="t" stroked="f" coordorigin="0,0" coordsize="21600,21600">
            <v:fill on="f" color2="#FFFFFF" focus="0%"/>
            <v:imagedata gain="65536f" blacklevel="0f" gamma="0" o:title="5" r:id="rId11"/>
            <o:lock v:ext="edit" position="f" selection="f" grouping="f" rotation="f" cropping="f" text="f" aspectratio="t"/>
            <w10:wrap type="none"/>
            <w10:anchorlock/>
          </v:shape>
        </w:pict>
      </w:r>
    </w:p>
    <w:p>
      <w:pPr>
        <w:widowControl/>
        <w:shd w:val="clear" w:color="auto" w:fill="FFFFFF"/>
        <w:spacing w:line="480" w:lineRule="auto"/>
        <w:ind w:firstLine="643" w:firstLineChars="200"/>
        <w:jc w:val="left"/>
        <w:rPr>
          <w:rFonts w:ascii="楷体_GB2312" w:hAnsi="inherit" w:eastAsia="楷体_GB2312"/>
          <w:b/>
          <w:sz w:val="32"/>
          <w:szCs w:val="32"/>
        </w:rPr>
      </w:pPr>
      <w:r>
        <w:rPr>
          <w:rFonts w:hint="eastAsia" w:ascii="楷体_GB2312" w:hAnsi="inherit" w:eastAsia="楷体_GB2312"/>
          <w:b/>
          <w:sz w:val="32"/>
          <w:szCs w:val="32"/>
        </w:rPr>
        <w:t>（四）市场统计及机构名录</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在“监管对象”栏目定期更新辖区证券经营机构、证券投资咨询机构、期货经营机构、基金公司及分公司和上市公司名录</w:t>
      </w:r>
      <w:r>
        <w:rPr>
          <w:rFonts w:hint="eastAsia" w:ascii="仿宋_GB2312" w:hAnsi="inherit" w:eastAsia="仿宋_GB2312"/>
          <w:sz w:val="32"/>
          <w:szCs w:val="32"/>
          <w:lang w:val="en-US" w:eastAsia="zh-CN"/>
        </w:rPr>
        <w:t>4</w:t>
      </w:r>
      <w:r>
        <w:rPr>
          <w:rFonts w:hint="eastAsia" w:ascii="仿宋_GB2312" w:hAnsi="inherit" w:eastAsia="仿宋_GB2312"/>
          <w:sz w:val="32"/>
          <w:szCs w:val="32"/>
        </w:rPr>
        <w:t>期，方便社会公众查询使用。</w:t>
      </w:r>
    </w:p>
    <w:p>
      <w:pPr>
        <w:widowControl/>
        <w:shd w:val="clear" w:color="auto" w:fill="FFFFFF"/>
        <w:spacing w:line="480" w:lineRule="auto"/>
        <w:ind w:firstLine="643" w:firstLineChars="200"/>
        <w:jc w:val="left"/>
        <w:rPr>
          <w:rFonts w:ascii="楷体_GB2312" w:hAnsi="inherit" w:eastAsia="楷体_GB2312"/>
          <w:b/>
          <w:sz w:val="32"/>
          <w:szCs w:val="32"/>
        </w:rPr>
      </w:pPr>
      <w:r>
        <w:rPr>
          <w:rFonts w:hint="eastAsia" w:ascii="楷体_GB2312" w:hAnsi="inherit" w:eastAsia="楷体_GB2312"/>
          <w:b/>
          <w:sz w:val="32"/>
          <w:szCs w:val="32"/>
        </w:rPr>
        <w:t>（五）投资者保护</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在“投资者保护”栏目中发布证监会及我局开展投资者保护工作动态信息16条，其中工作简讯6条，知识园地1条，风险教育</w:t>
      </w:r>
      <w:r>
        <w:rPr>
          <w:rFonts w:hint="eastAsia" w:ascii="仿宋_GB2312" w:hAnsi="inherit" w:eastAsia="仿宋_GB2312"/>
          <w:sz w:val="32"/>
          <w:szCs w:val="32"/>
          <w:lang w:val="en-US" w:eastAsia="zh-CN"/>
        </w:rPr>
        <w:t>7</w:t>
      </w:r>
      <w:r>
        <w:rPr>
          <w:rFonts w:hint="eastAsia" w:ascii="仿宋_GB2312" w:hAnsi="inherit" w:eastAsia="仿宋_GB2312"/>
          <w:sz w:val="32"/>
          <w:szCs w:val="32"/>
        </w:rPr>
        <w:t>条。</w:t>
      </w:r>
    </w:p>
    <w:p>
      <w:pPr>
        <w:widowControl/>
        <w:shd w:val="clear" w:color="auto" w:fill="FFFFFF"/>
        <w:spacing w:line="480" w:lineRule="auto"/>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kern w:val="2"/>
          <w:sz w:val="24"/>
          <w:szCs w:val="24"/>
          <w:lang w:val="en-US" w:eastAsia="zh-CN" w:bidi="ar-SA"/>
        </w:rPr>
        <w:pict>
          <v:shape id="图片 7" o:spid="_x0000_s1031" type="#_x0000_t75" style="height:244.75pt;width:415.1pt;rotation:0f;" o:ole="f" fillcolor="#FFFFFF" filled="f" o:preferrelative="t" stroked="f" coordorigin="0,0" coordsize="21600,21600">
            <v:fill on="f" color2="#FFFFFF" focus="0%"/>
            <v:imagedata gain="65536f" blacklevel="0f" gamma="0" o:title="6" r:id="rId12"/>
            <o:lock v:ext="edit" position="f" selection="f" grouping="f" rotation="f" cropping="f" text="f" aspectratio="t"/>
            <w10:wrap type="none"/>
            <w10:anchorlock/>
          </v:shape>
        </w:pict>
      </w:r>
    </w:p>
    <w:p>
      <w:pPr>
        <w:widowControl/>
        <w:shd w:val="clear" w:color="auto" w:fill="FFFFFF"/>
        <w:spacing w:line="480" w:lineRule="auto"/>
        <w:jc w:val="both"/>
        <w:rPr>
          <w:rFonts w:hint="eastAsia" w:ascii="仿宋_GB2312" w:hAnsi="仿宋_GB2312" w:eastAsia="仿宋_GB2312" w:cs="仿宋_GB2312"/>
          <w:bCs/>
          <w:sz w:val="24"/>
          <w:szCs w:val="24"/>
          <w:lang w:eastAsia="zh-CN"/>
        </w:rPr>
      </w:pPr>
    </w:p>
    <w:p>
      <w:pPr>
        <w:widowControl/>
        <w:shd w:val="clear" w:color="auto" w:fill="FFFFFF"/>
        <w:spacing w:line="480" w:lineRule="auto"/>
        <w:ind w:firstLine="640" w:firstLineChars="200"/>
        <w:jc w:val="left"/>
        <w:outlineLvl w:val="0"/>
        <w:rPr>
          <w:rFonts w:ascii="黑体" w:hAnsi="inherit" w:eastAsia="黑体" w:cs="宋体"/>
          <w:color w:val="333333"/>
          <w:kern w:val="0"/>
          <w:sz w:val="32"/>
          <w:szCs w:val="32"/>
        </w:rPr>
      </w:pPr>
      <w:r>
        <w:rPr>
          <w:rFonts w:hint="eastAsia" w:ascii="黑体" w:hAnsi="inherit" w:eastAsia="黑体" w:cs="宋体"/>
          <w:color w:val="333333"/>
          <w:kern w:val="0"/>
          <w:sz w:val="32"/>
          <w:szCs w:val="32"/>
        </w:rPr>
        <w:t>六、依申请公开信息情况</w:t>
      </w:r>
    </w:p>
    <w:p>
      <w:pPr>
        <w:widowControl/>
        <w:shd w:val="clear" w:color="auto" w:fill="FFFFFF"/>
        <w:spacing w:line="480" w:lineRule="auto"/>
        <w:ind w:firstLine="640" w:firstLineChars="200"/>
        <w:jc w:val="left"/>
        <w:rPr>
          <w:rFonts w:ascii="仿宋_GB2312" w:hAnsi="inherit" w:eastAsia="仿宋_GB2312" w:cs="Times New Roman"/>
          <w:sz w:val="32"/>
          <w:szCs w:val="32"/>
        </w:rPr>
      </w:pPr>
      <w:r>
        <w:rPr>
          <w:rFonts w:hint="eastAsia" w:ascii="仿宋_GB2312" w:hAnsi="inherit" w:eastAsia="仿宋_GB2312" w:cs="Times New Roman"/>
          <w:sz w:val="32"/>
          <w:szCs w:val="32"/>
        </w:rPr>
        <w:t>201</w:t>
      </w:r>
      <w:r>
        <w:rPr>
          <w:rFonts w:hint="eastAsia" w:ascii="仿宋_GB2312" w:hAnsi="inherit" w:eastAsia="仿宋_GB2312" w:cs="Times New Roman"/>
          <w:sz w:val="32"/>
          <w:szCs w:val="32"/>
          <w:lang w:val="en-US" w:eastAsia="zh-CN"/>
        </w:rPr>
        <w:t>7</w:t>
      </w:r>
      <w:r>
        <w:rPr>
          <w:rFonts w:hint="eastAsia" w:ascii="仿宋_GB2312" w:hAnsi="inherit" w:eastAsia="仿宋_GB2312" w:cs="Times New Roman"/>
          <w:sz w:val="32"/>
          <w:szCs w:val="32"/>
        </w:rPr>
        <w:t>年，我局共收到</w:t>
      </w:r>
      <w:r>
        <w:rPr>
          <w:rFonts w:hint="eastAsia" w:ascii="仿宋_GB2312" w:hAnsi="inherit" w:eastAsia="仿宋_GB2312"/>
          <w:sz w:val="32"/>
          <w:szCs w:val="32"/>
          <w:lang w:val="en-US" w:eastAsia="zh-CN"/>
        </w:rPr>
        <w:t>3</w:t>
      </w:r>
      <w:r>
        <w:rPr>
          <w:rFonts w:hint="eastAsia" w:ascii="仿宋_GB2312" w:hAnsi="inherit" w:eastAsia="仿宋_GB2312" w:cs="Times New Roman"/>
          <w:sz w:val="32"/>
          <w:szCs w:val="32"/>
        </w:rPr>
        <w:t>位申请人提出的政府信息公开申请</w:t>
      </w:r>
      <w:r>
        <w:rPr>
          <w:rFonts w:hint="eastAsia" w:ascii="仿宋_GB2312" w:hAnsi="inherit" w:eastAsia="仿宋_GB2312" w:cs="Times New Roman"/>
          <w:sz w:val="32"/>
          <w:szCs w:val="32"/>
          <w:lang w:val="en-US" w:eastAsia="zh-CN"/>
        </w:rPr>
        <w:t>3</w:t>
      </w:r>
      <w:r>
        <w:rPr>
          <w:rFonts w:hint="eastAsia" w:ascii="仿宋_GB2312" w:hAnsi="inherit" w:eastAsia="仿宋_GB2312" w:cs="Times New Roman"/>
          <w:sz w:val="32"/>
          <w:szCs w:val="32"/>
        </w:rPr>
        <w:t>件，</w:t>
      </w:r>
      <w:r>
        <w:rPr>
          <w:rFonts w:hint="eastAsia" w:ascii="仿宋_GB2312" w:hAnsi="inherit" w:eastAsia="仿宋_GB2312"/>
          <w:sz w:val="32"/>
          <w:szCs w:val="32"/>
        </w:rPr>
        <w:t>均为</w:t>
      </w:r>
      <w:r>
        <w:rPr>
          <w:rFonts w:hint="eastAsia" w:ascii="仿宋_GB2312" w:hAnsi="inherit" w:eastAsia="仿宋_GB2312" w:cs="Times New Roman"/>
          <w:sz w:val="32"/>
          <w:szCs w:val="32"/>
        </w:rPr>
        <w:t>信函申请。</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cs="Times New Roman"/>
          <w:sz w:val="32"/>
          <w:szCs w:val="32"/>
        </w:rPr>
        <w:t>我局对201</w:t>
      </w:r>
      <w:r>
        <w:rPr>
          <w:rFonts w:hint="eastAsia" w:ascii="仿宋_GB2312" w:hAnsi="inherit" w:eastAsia="仿宋_GB2312" w:cs="Times New Roman"/>
          <w:sz w:val="32"/>
          <w:szCs w:val="32"/>
          <w:lang w:val="en-US" w:eastAsia="zh-CN"/>
        </w:rPr>
        <w:t>7</w:t>
      </w:r>
      <w:r>
        <w:rPr>
          <w:rFonts w:hint="eastAsia" w:ascii="仿宋_GB2312" w:hAnsi="inherit" w:eastAsia="仿宋_GB2312" w:cs="Times New Roman"/>
          <w:sz w:val="32"/>
          <w:szCs w:val="32"/>
        </w:rPr>
        <w:t>年收到的政府信息公开申请均已在法定期限内作出答复。</w:t>
      </w:r>
    </w:p>
    <w:p>
      <w:pPr>
        <w:widowControl/>
        <w:shd w:val="clear" w:color="auto" w:fill="FFFFFF"/>
        <w:spacing w:line="480" w:lineRule="auto"/>
        <w:ind w:firstLine="640" w:firstLineChars="200"/>
        <w:jc w:val="left"/>
        <w:outlineLvl w:val="0"/>
        <w:rPr>
          <w:rFonts w:ascii="黑体" w:hAnsi="inherit" w:eastAsia="黑体" w:cs="宋体"/>
          <w:color w:val="333333"/>
          <w:kern w:val="0"/>
          <w:sz w:val="32"/>
          <w:szCs w:val="32"/>
        </w:rPr>
      </w:pPr>
      <w:r>
        <w:rPr>
          <w:rFonts w:hint="eastAsia" w:ascii="黑体" w:hAnsi="inherit" w:eastAsia="黑体" w:cs="宋体"/>
          <w:color w:val="333333"/>
          <w:kern w:val="0"/>
          <w:sz w:val="32"/>
          <w:szCs w:val="32"/>
        </w:rPr>
        <w:t>七、信息公开收费及减免情况</w:t>
      </w:r>
    </w:p>
    <w:p>
      <w:pPr>
        <w:widowControl/>
        <w:shd w:val="clear" w:color="auto" w:fill="FFFFFF"/>
        <w:spacing w:line="480" w:lineRule="auto"/>
        <w:ind w:firstLine="640" w:firstLineChars="200"/>
        <w:jc w:val="left"/>
        <w:rPr>
          <w:rFonts w:hint="eastAsia" w:ascii="仿宋_GB2312" w:hAnsi="inherit" w:eastAsia="仿宋_GB2312" w:cs="Times New Roman"/>
          <w:sz w:val="32"/>
          <w:szCs w:val="32"/>
        </w:rPr>
      </w:pPr>
      <w:r>
        <w:rPr>
          <w:rFonts w:hint="eastAsia" w:ascii="仿宋_GB2312" w:hAnsi="inherit" w:eastAsia="仿宋_GB2312" w:cs="Times New Roman"/>
          <w:sz w:val="32"/>
          <w:szCs w:val="32"/>
        </w:rPr>
        <w:t xml:space="preserve"> 201</w:t>
      </w:r>
      <w:r>
        <w:rPr>
          <w:rFonts w:hint="eastAsia" w:ascii="仿宋_GB2312" w:hAnsi="inherit" w:eastAsia="仿宋_GB2312" w:cs="Times New Roman"/>
          <w:sz w:val="32"/>
          <w:szCs w:val="32"/>
          <w:lang w:val="en-US" w:eastAsia="zh-CN"/>
        </w:rPr>
        <w:t>7</w:t>
      </w:r>
      <w:r>
        <w:rPr>
          <w:rFonts w:hint="eastAsia" w:ascii="仿宋_GB2312" w:hAnsi="inherit" w:eastAsia="仿宋_GB2312" w:cs="Times New Roman"/>
          <w:sz w:val="32"/>
          <w:szCs w:val="32"/>
        </w:rPr>
        <w:t>年，我局未收取与信息公开相关的检索、复制、邮寄等费用。</w:t>
      </w:r>
    </w:p>
    <w:p>
      <w:pPr>
        <w:widowControl/>
        <w:shd w:val="clear" w:color="auto" w:fill="FFFFFF"/>
        <w:spacing w:line="480" w:lineRule="auto"/>
        <w:jc w:val="left"/>
        <w:rPr>
          <w:rFonts w:hint="eastAsia" w:ascii="仿宋_GB2312" w:hAnsi="inherit" w:eastAsia="仿宋_GB2312" w:cs="Times New Roman"/>
          <w:sz w:val="32"/>
          <w:szCs w:val="32"/>
        </w:rPr>
      </w:pPr>
    </w:p>
    <w:p>
      <w:pPr>
        <w:widowControl/>
        <w:shd w:val="clear" w:color="auto" w:fill="FFFFFF"/>
        <w:spacing w:line="480" w:lineRule="auto"/>
        <w:ind w:firstLine="640" w:firstLineChars="200"/>
        <w:jc w:val="left"/>
        <w:outlineLvl w:val="0"/>
        <w:rPr>
          <w:rFonts w:ascii="黑体" w:hAnsi="inherit" w:eastAsia="黑体" w:cs="宋体"/>
          <w:color w:val="333333"/>
          <w:kern w:val="0"/>
          <w:sz w:val="32"/>
          <w:szCs w:val="32"/>
        </w:rPr>
      </w:pPr>
      <w:r>
        <w:rPr>
          <w:rFonts w:hint="eastAsia" w:ascii="黑体" w:hAnsi="inherit" w:eastAsia="黑体" w:cs="宋体"/>
          <w:color w:val="333333"/>
          <w:kern w:val="0"/>
          <w:sz w:val="32"/>
          <w:szCs w:val="32"/>
        </w:rPr>
        <w:t>八、信息公开答复引发的行政复议及提起行政诉讼情况</w:t>
      </w:r>
    </w:p>
    <w:p>
      <w:pPr>
        <w:widowControl/>
        <w:shd w:val="clear" w:color="auto" w:fill="FFFFFF"/>
        <w:spacing w:line="480" w:lineRule="auto"/>
        <w:ind w:firstLine="640" w:firstLineChars="200"/>
        <w:jc w:val="left"/>
        <w:rPr>
          <w:rFonts w:ascii="仿宋_GB2312" w:hAnsi="inherit" w:eastAsia="仿宋_GB2312" w:cs="Times New Roman"/>
          <w:sz w:val="32"/>
          <w:szCs w:val="32"/>
        </w:rPr>
      </w:pPr>
      <w:r>
        <w:rPr>
          <w:rFonts w:hint="eastAsia" w:ascii="仿宋_GB2312" w:hAnsi="inherit" w:eastAsia="仿宋_GB2312" w:cs="Times New Roman"/>
          <w:sz w:val="32"/>
          <w:szCs w:val="32"/>
        </w:rPr>
        <w:t>201</w:t>
      </w:r>
      <w:r>
        <w:rPr>
          <w:rFonts w:hint="eastAsia" w:ascii="仿宋_GB2312" w:hAnsi="inherit" w:eastAsia="仿宋_GB2312" w:cs="Times New Roman"/>
          <w:sz w:val="32"/>
          <w:szCs w:val="32"/>
          <w:lang w:val="en-US" w:eastAsia="zh-CN"/>
        </w:rPr>
        <w:t>7</w:t>
      </w:r>
      <w:r>
        <w:rPr>
          <w:rFonts w:hint="eastAsia" w:ascii="仿宋_GB2312" w:hAnsi="inherit" w:eastAsia="仿宋_GB2312" w:cs="Times New Roman"/>
          <w:sz w:val="32"/>
          <w:szCs w:val="32"/>
        </w:rPr>
        <w:t>年，我局因</w:t>
      </w:r>
      <w:r>
        <w:rPr>
          <w:rFonts w:hint="eastAsia" w:ascii="仿宋_GB2312" w:hAnsi="inherit" w:eastAsia="仿宋_GB2312" w:cs="Times New Roman"/>
          <w:sz w:val="32"/>
          <w:szCs w:val="32"/>
          <w:lang w:eastAsia="zh-CN"/>
        </w:rPr>
        <w:t>行政处罚</w:t>
      </w:r>
      <w:r>
        <w:rPr>
          <w:rFonts w:hint="eastAsia" w:ascii="仿宋_GB2312" w:hAnsi="inherit" w:eastAsia="仿宋_GB2312" w:cs="Times New Roman"/>
          <w:sz w:val="32"/>
          <w:szCs w:val="32"/>
        </w:rPr>
        <w:t>引发行政复议的案件有</w:t>
      </w:r>
      <w:r>
        <w:rPr>
          <w:rFonts w:hint="eastAsia" w:ascii="仿宋_GB2312" w:hAnsi="inherit" w:eastAsia="仿宋_GB2312" w:cs="Times New Roman"/>
          <w:sz w:val="32"/>
          <w:szCs w:val="32"/>
          <w:lang w:val="en-US" w:eastAsia="zh-CN"/>
        </w:rPr>
        <w:t>1</w:t>
      </w:r>
      <w:r>
        <w:rPr>
          <w:rFonts w:hint="eastAsia" w:ascii="仿宋_GB2312" w:hAnsi="inherit" w:eastAsia="仿宋_GB2312" w:cs="Times New Roman"/>
          <w:sz w:val="32"/>
          <w:szCs w:val="32"/>
        </w:rPr>
        <w:t>件，复议机关决定维持我局的相关答复。以我局为被告的信息公开类行政诉讼案件1件，当事人</w:t>
      </w:r>
      <w:r>
        <w:rPr>
          <w:rFonts w:hint="eastAsia" w:ascii="仿宋_GB2312" w:hAnsi="inherit" w:eastAsia="仿宋_GB2312" w:cs="Times New Roman"/>
          <w:sz w:val="32"/>
          <w:szCs w:val="32"/>
          <w:lang w:eastAsia="zh-CN"/>
        </w:rPr>
        <w:t>无正常理由拒不到庭，以撤诉处理</w:t>
      </w:r>
      <w:r>
        <w:rPr>
          <w:rFonts w:hint="eastAsia" w:ascii="仿宋_GB2312" w:hAnsi="inherit" w:eastAsia="仿宋_GB2312" w:cs="Times New Roman"/>
          <w:sz w:val="32"/>
          <w:szCs w:val="32"/>
        </w:rPr>
        <w:t>，案件终结。</w:t>
      </w:r>
    </w:p>
    <w:p>
      <w:pPr>
        <w:widowControl/>
        <w:shd w:val="clear" w:color="auto" w:fill="FFFFFF"/>
        <w:spacing w:line="480" w:lineRule="auto"/>
        <w:ind w:firstLine="640" w:firstLineChars="200"/>
        <w:jc w:val="left"/>
        <w:outlineLvl w:val="0"/>
        <w:rPr>
          <w:rFonts w:ascii="黑体" w:hAnsi="inherit" w:eastAsia="黑体" w:cs="宋体"/>
          <w:color w:val="333333"/>
          <w:kern w:val="0"/>
          <w:sz w:val="32"/>
          <w:szCs w:val="32"/>
        </w:rPr>
      </w:pPr>
      <w:r>
        <w:rPr>
          <w:rFonts w:hint="eastAsia" w:ascii="黑体" w:hAnsi="inherit" w:eastAsia="黑体" w:cs="宋体"/>
          <w:color w:val="333333"/>
          <w:kern w:val="0"/>
          <w:sz w:val="32"/>
          <w:szCs w:val="32"/>
        </w:rPr>
        <w:t>九、信息公开工作存在的问题及下一步工作考虑</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近年来，安徽证监局认真履行信息公开义务，做好信息公开的各项工作，信息公开的数量和质量有了一定的提高，但信息公开的范围种类和时效性仍不能完全满足社会公众对监管信息公开工作的要求。</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ˎ̥" w:eastAsia="仿宋_GB2312" w:cs="宋体"/>
          <w:kern w:val="0"/>
          <w:sz w:val="32"/>
        </w:rPr>
        <w:t>下一步，我局将认真落实证监会有关工作部署，进一步增强主动公开信息的准确性和及时性</w:t>
      </w:r>
      <w:r>
        <w:rPr>
          <w:rFonts w:hint="eastAsia" w:ascii="仿宋_GB2312" w:hAnsi="inherit" w:eastAsia="仿宋_GB2312"/>
          <w:sz w:val="32"/>
          <w:szCs w:val="32"/>
        </w:rPr>
        <w:t>，一是严格落实信息公开的各项制度，不断提高工作人员信息公开意识和工作水平；二是按照证监会的安排部署，积极扩展信息公开渠道和方式，增强监管透明度和时效性，积极推动信息公开工作取得新的进展。</w:t>
      </w:r>
    </w:p>
    <w:sectPr>
      <w:footerReference r:id="rId4" w:type="default"/>
      <w:footerReference r:id="rId5"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inherit">
    <w:altName w:val="Courier New"/>
    <w:panose1 w:val="00000000000000000000"/>
    <w:charset w:val="01"/>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ˎ̥">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1</w:t>
    </w:r>
    <w:r>
      <w:rPr>
        <w:rFonts w:ascii="宋体" w:hAnsi="宋体"/>
        <w:sz w:val="28"/>
        <w:szCs w:val="28"/>
      </w:rPr>
      <w:fldChar w:fldCharType="end"/>
    </w:r>
    <w:r>
      <w:rPr>
        <w:rFonts w:hint="eastAsia" w:ascii="宋体" w:hAnsi="宋体"/>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2</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916FB"/>
    <w:rsid w:val="00031795"/>
    <w:rsid w:val="00065D14"/>
    <w:rsid w:val="00070C24"/>
    <w:rsid w:val="000916FB"/>
    <w:rsid w:val="000E245B"/>
    <w:rsid w:val="0016209E"/>
    <w:rsid w:val="00174A22"/>
    <w:rsid w:val="00197525"/>
    <w:rsid w:val="00273F86"/>
    <w:rsid w:val="00287B40"/>
    <w:rsid w:val="00300476"/>
    <w:rsid w:val="0036008F"/>
    <w:rsid w:val="003900E9"/>
    <w:rsid w:val="004967E1"/>
    <w:rsid w:val="004C066E"/>
    <w:rsid w:val="00511239"/>
    <w:rsid w:val="00530A50"/>
    <w:rsid w:val="0055638A"/>
    <w:rsid w:val="00570879"/>
    <w:rsid w:val="005B5D4D"/>
    <w:rsid w:val="00643C07"/>
    <w:rsid w:val="006D0C55"/>
    <w:rsid w:val="00714FD7"/>
    <w:rsid w:val="007315EE"/>
    <w:rsid w:val="0077710A"/>
    <w:rsid w:val="007972ED"/>
    <w:rsid w:val="007A30AE"/>
    <w:rsid w:val="007D0DE1"/>
    <w:rsid w:val="008403BB"/>
    <w:rsid w:val="008462DE"/>
    <w:rsid w:val="008C5968"/>
    <w:rsid w:val="008F00AC"/>
    <w:rsid w:val="0098365E"/>
    <w:rsid w:val="00A11F86"/>
    <w:rsid w:val="00A5333C"/>
    <w:rsid w:val="00A7525E"/>
    <w:rsid w:val="00A91A43"/>
    <w:rsid w:val="00B009DD"/>
    <w:rsid w:val="00B92ABB"/>
    <w:rsid w:val="00C31601"/>
    <w:rsid w:val="00C3434C"/>
    <w:rsid w:val="00C71E6A"/>
    <w:rsid w:val="00C7315B"/>
    <w:rsid w:val="00CA1AB3"/>
    <w:rsid w:val="00D0268B"/>
    <w:rsid w:val="00D15A2E"/>
    <w:rsid w:val="00D75C1E"/>
    <w:rsid w:val="00DB7AAA"/>
    <w:rsid w:val="00E55B1C"/>
    <w:rsid w:val="00E775BB"/>
    <w:rsid w:val="00F06386"/>
    <w:rsid w:val="056623B8"/>
    <w:rsid w:val="222C76F8"/>
    <w:rsid w:val="24847EF8"/>
    <w:rsid w:val="28EB10B1"/>
    <w:rsid w:val="3E986A1E"/>
    <w:rsid w:val="53C06E84"/>
    <w:rsid w:val="58E665F4"/>
    <w:rsid w:val="70FA07A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Document Map"/>
    <w:basedOn w:val="1"/>
    <w:link w:val="14"/>
    <w:unhideWhenUsed/>
    <w:uiPriority w:val="99"/>
    <w:rPr>
      <w:rFonts w:ascii="宋体" w:eastAsia="宋体"/>
      <w:sz w:val="18"/>
      <w:szCs w:val="18"/>
    </w:rPr>
  </w:style>
  <w:style w:type="paragraph" w:styleId="3">
    <w:name w:val="Balloon Text"/>
    <w:basedOn w:val="1"/>
    <w:link w:val="13"/>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8">
    <w:name w:val="Strong"/>
    <w:basedOn w:val="7"/>
    <w:qFormat/>
    <w:uiPriority w:val="22"/>
    <w:rPr>
      <w:b/>
      <w:bCs/>
    </w:rPr>
  </w:style>
  <w:style w:type="paragraph" w:customStyle="1" w:styleId="10">
    <w:name w:val="List Paragraph"/>
    <w:basedOn w:val="1"/>
    <w:qFormat/>
    <w:uiPriority w:val="34"/>
    <w:pPr>
      <w:ind w:firstLine="420" w:firstLineChars="200"/>
    </w:pPr>
  </w:style>
  <w:style w:type="character" w:customStyle="1" w:styleId="11">
    <w:name w:val="页眉 Char"/>
    <w:basedOn w:val="7"/>
    <w:link w:val="5"/>
    <w:semiHidden/>
    <w:uiPriority w:val="99"/>
    <w:rPr>
      <w:sz w:val="18"/>
      <w:szCs w:val="18"/>
    </w:rPr>
  </w:style>
  <w:style w:type="character" w:customStyle="1" w:styleId="12">
    <w:name w:val="页脚 Char"/>
    <w:basedOn w:val="7"/>
    <w:link w:val="4"/>
    <w:uiPriority w:val="99"/>
    <w:rPr>
      <w:sz w:val="18"/>
      <w:szCs w:val="18"/>
    </w:rPr>
  </w:style>
  <w:style w:type="character" w:customStyle="1" w:styleId="13">
    <w:name w:val="批注框文本 Char"/>
    <w:basedOn w:val="7"/>
    <w:link w:val="3"/>
    <w:semiHidden/>
    <w:uiPriority w:val="99"/>
    <w:rPr>
      <w:sz w:val="18"/>
      <w:szCs w:val="18"/>
    </w:rPr>
  </w:style>
  <w:style w:type="character" w:customStyle="1" w:styleId="14">
    <w:name w:val="文档结构图 Char"/>
    <w:basedOn w:val="7"/>
    <w:link w:val="2"/>
    <w:semiHidden/>
    <w:uiPriority w:val="99"/>
    <w:rPr>
      <w:rFonts w:ascii="宋体" w:eastAsia="宋体"/>
      <w:sz w:val="18"/>
      <w:szCs w:val="18"/>
    </w:rPr>
  </w:style>
  <w:style w:type="character" w:customStyle="1" w:styleId="15">
    <w:name w:val="HTML 预设格式 Char"/>
    <w:basedOn w:val="7"/>
    <w:link w:val="6"/>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277</Words>
  <Characters>1580</Characters>
  <Lines>13</Lines>
  <Paragraphs>3</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2016-03-16T01:38:00Z</dcterms:created>
  <cp:lastModifiedBy>fengfei</cp:lastModifiedBy>
  <cp:lastPrinted>2018-03-16T00:56:39Z</cp:lastPrinted>
  <dcterms:modified xsi:type="dcterms:W3CDTF">2018-03-16T00:58:31Z</dcterms:modified>
  <dc:title>安徽证监局2017年政府信息公开工作年度报告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